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228F9" w14:textId="77777777" w:rsidR="00720A80" w:rsidRDefault="00720A80" w:rsidP="00BA358C">
      <w:pPr>
        <w:jc w:val="center"/>
        <w:rPr>
          <w:b/>
          <w:bCs/>
          <w:sz w:val="24"/>
          <w:szCs w:val="24"/>
          <w:u w:val="single"/>
        </w:rPr>
      </w:pPr>
      <w:r w:rsidRPr="00720A80">
        <w:rPr>
          <w:b/>
          <w:bCs/>
          <w:sz w:val="24"/>
          <w:szCs w:val="24"/>
          <w:u w:val="single"/>
        </w:rPr>
        <w:t>Ordonnance n° 2020-322 du 25 mars 2020 adaptant temporairement les conditions et modalités d'attribution de l'indemnité complémentaire prévue à l'article L. 1226-1 du code du travail et modifiant, à titre exceptionnel, les dates limites et les modalités de versement des sommes versées au titre de l'intéressement et de la participation</w:t>
      </w:r>
    </w:p>
    <w:p w14:paraId="3DC8DC61" w14:textId="2038767E" w:rsidR="00CC3326" w:rsidRDefault="00FE4AAD">
      <w:pPr>
        <w:pStyle w:val="TM1"/>
        <w:tabs>
          <w:tab w:val="left" w:pos="440"/>
          <w:tab w:val="right" w:leader="dot" w:pos="9736"/>
        </w:tabs>
        <w:rPr>
          <w:rFonts w:asciiTheme="minorHAnsi" w:hAnsiTheme="minorHAnsi" w:cstheme="minorBidi"/>
          <w:b w:val="0"/>
          <w:noProof/>
          <w:color w:val="auto"/>
          <w:sz w:val="22"/>
        </w:rPr>
      </w:pPr>
      <w:r>
        <w:fldChar w:fldCharType="begin"/>
      </w:r>
      <w:r>
        <w:instrText xml:space="preserve"> TOC \o "1-3" \h \z \u </w:instrText>
      </w:r>
      <w:r>
        <w:fldChar w:fldCharType="separate"/>
      </w:r>
      <w:hyperlink w:anchor="_Toc36100424" w:history="1">
        <w:r w:rsidR="00CC3326" w:rsidRPr="00FA1BD6">
          <w:rPr>
            <w:rStyle w:val="Lienhypertexte"/>
            <w:noProof/>
          </w:rPr>
          <w:t>1.</w:t>
        </w:r>
        <w:r w:rsidR="00CC3326">
          <w:rPr>
            <w:rFonts w:asciiTheme="minorHAnsi" w:hAnsiTheme="minorHAnsi" w:cstheme="minorBidi"/>
            <w:b w:val="0"/>
            <w:noProof/>
            <w:color w:val="auto"/>
            <w:sz w:val="22"/>
          </w:rPr>
          <w:tab/>
        </w:r>
        <w:r w:rsidR="00CC3326" w:rsidRPr="00FA1BD6">
          <w:rPr>
            <w:rStyle w:val="Lienhypertexte"/>
            <w:noProof/>
          </w:rPr>
          <w:t>Entrée en vigueur</w:t>
        </w:r>
        <w:r w:rsidR="00CC3326">
          <w:rPr>
            <w:noProof/>
            <w:webHidden/>
          </w:rPr>
          <w:tab/>
        </w:r>
        <w:r w:rsidR="00CC3326">
          <w:rPr>
            <w:noProof/>
            <w:webHidden/>
          </w:rPr>
          <w:fldChar w:fldCharType="begin"/>
        </w:r>
        <w:r w:rsidR="00CC3326">
          <w:rPr>
            <w:noProof/>
            <w:webHidden/>
          </w:rPr>
          <w:instrText xml:space="preserve"> PAGEREF _Toc36100424 \h </w:instrText>
        </w:r>
        <w:r w:rsidR="00CC3326">
          <w:rPr>
            <w:noProof/>
            <w:webHidden/>
          </w:rPr>
        </w:r>
        <w:r w:rsidR="00CC3326">
          <w:rPr>
            <w:noProof/>
            <w:webHidden/>
          </w:rPr>
          <w:fldChar w:fldCharType="separate"/>
        </w:r>
        <w:r w:rsidR="00CC3326">
          <w:rPr>
            <w:noProof/>
            <w:webHidden/>
          </w:rPr>
          <w:t>1</w:t>
        </w:r>
        <w:r w:rsidR="00CC3326">
          <w:rPr>
            <w:noProof/>
            <w:webHidden/>
          </w:rPr>
          <w:fldChar w:fldCharType="end"/>
        </w:r>
      </w:hyperlink>
    </w:p>
    <w:p w14:paraId="5DBB4DBA" w14:textId="2B2BAF68" w:rsidR="00CC3326" w:rsidRDefault="00CC3326">
      <w:pPr>
        <w:pStyle w:val="TM1"/>
        <w:tabs>
          <w:tab w:val="left" w:pos="440"/>
          <w:tab w:val="right" w:leader="dot" w:pos="9736"/>
        </w:tabs>
        <w:rPr>
          <w:rFonts w:asciiTheme="minorHAnsi" w:hAnsiTheme="minorHAnsi" w:cstheme="minorBidi"/>
          <w:b w:val="0"/>
          <w:noProof/>
          <w:color w:val="auto"/>
          <w:sz w:val="22"/>
        </w:rPr>
      </w:pPr>
      <w:hyperlink w:anchor="_Toc36100425" w:history="1">
        <w:r w:rsidRPr="00FA1BD6">
          <w:rPr>
            <w:rStyle w:val="Lienhypertexte"/>
            <w:noProof/>
          </w:rPr>
          <w:t>2.</w:t>
        </w:r>
        <w:r>
          <w:rPr>
            <w:rFonts w:asciiTheme="minorHAnsi" w:hAnsiTheme="minorHAnsi" w:cstheme="minorBidi"/>
            <w:b w:val="0"/>
            <w:noProof/>
            <w:color w:val="auto"/>
            <w:sz w:val="22"/>
          </w:rPr>
          <w:tab/>
        </w:r>
        <w:r w:rsidRPr="00FA1BD6">
          <w:rPr>
            <w:rStyle w:val="Lienhypertexte"/>
            <w:noProof/>
          </w:rPr>
          <w:t>Le complément de salaire en cas d’arrêt de travail</w:t>
        </w:r>
        <w:r>
          <w:rPr>
            <w:noProof/>
            <w:webHidden/>
          </w:rPr>
          <w:tab/>
        </w:r>
        <w:r>
          <w:rPr>
            <w:noProof/>
            <w:webHidden/>
          </w:rPr>
          <w:fldChar w:fldCharType="begin"/>
        </w:r>
        <w:r>
          <w:rPr>
            <w:noProof/>
            <w:webHidden/>
          </w:rPr>
          <w:instrText xml:space="preserve"> PAGEREF _Toc36100425 \h </w:instrText>
        </w:r>
        <w:r>
          <w:rPr>
            <w:noProof/>
            <w:webHidden/>
          </w:rPr>
        </w:r>
        <w:r>
          <w:rPr>
            <w:noProof/>
            <w:webHidden/>
          </w:rPr>
          <w:fldChar w:fldCharType="separate"/>
        </w:r>
        <w:r>
          <w:rPr>
            <w:noProof/>
            <w:webHidden/>
          </w:rPr>
          <w:t>1</w:t>
        </w:r>
        <w:r>
          <w:rPr>
            <w:noProof/>
            <w:webHidden/>
          </w:rPr>
          <w:fldChar w:fldCharType="end"/>
        </w:r>
      </w:hyperlink>
    </w:p>
    <w:p w14:paraId="75A1C643" w14:textId="60E8BCA9" w:rsidR="00CC3326" w:rsidRDefault="00CC3326">
      <w:pPr>
        <w:pStyle w:val="TM1"/>
        <w:tabs>
          <w:tab w:val="left" w:pos="440"/>
          <w:tab w:val="right" w:leader="dot" w:pos="9736"/>
        </w:tabs>
        <w:rPr>
          <w:rFonts w:asciiTheme="minorHAnsi" w:hAnsiTheme="minorHAnsi" w:cstheme="minorBidi"/>
          <w:b w:val="0"/>
          <w:noProof/>
          <w:color w:val="auto"/>
          <w:sz w:val="22"/>
        </w:rPr>
      </w:pPr>
      <w:hyperlink w:anchor="_Toc36100426" w:history="1">
        <w:r w:rsidRPr="00FA1BD6">
          <w:rPr>
            <w:rStyle w:val="Lienhypertexte"/>
            <w:noProof/>
          </w:rPr>
          <w:t>3.</w:t>
        </w:r>
        <w:r>
          <w:rPr>
            <w:rFonts w:asciiTheme="minorHAnsi" w:hAnsiTheme="minorHAnsi" w:cstheme="minorBidi"/>
            <w:b w:val="0"/>
            <w:noProof/>
            <w:color w:val="auto"/>
            <w:sz w:val="22"/>
          </w:rPr>
          <w:tab/>
        </w:r>
        <w:r w:rsidRPr="00FA1BD6">
          <w:rPr>
            <w:rStyle w:val="Lienhypertexte"/>
            <w:noProof/>
          </w:rPr>
          <w:t>Les versements au titre de l’intéressement et de la participation</w:t>
        </w:r>
        <w:r>
          <w:rPr>
            <w:noProof/>
            <w:webHidden/>
          </w:rPr>
          <w:tab/>
        </w:r>
        <w:r>
          <w:rPr>
            <w:noProof/>
            <w:webHidden/>
          </w:rPr>
          <w:fldChar w:fldCharType="begin"/>
        </w:r>
        <w:r>
          <w:rPr>
            <w:noProof/>
            <w:webHidden/>
          </w:rPr>
          <w:instrText xml:space="preserve"> PAGEREF _Toc36100426 \h </w:instrText>
        </w:r>
        <w:r>
          <w:rPr>
            <w:noProof/>
            <w:webHidden/>
          </w:rPr>
        </w:r>
        <w:r>
          <w:rPr>
            <w:noProof/>
            <w:webHidden/>
          </w:rPr>
          <w:fldChar w:fldCharType="separate"/>
        </w:r>
        <w:r>
          <w:rPr>
            <w:noProof/>
            <w:webHidden/>
          </w:rPr>
          <w:t>2</w:t>
        </w:r>
        <w:r>
          <w:rPr>
            <w:noProof/>
            <w:webHidden/>
          </w:rPr>
          <w:fldChar w:fldCharType="end"/>
        </w:r>
      </w:hyperlink>
    </w:p>
    <w:p w14:paraId="746E8AAE" w14:textId="5A3FF58B" w:rsidR="00FE4AAD" w:rsidRPr="00FE4AAD" w:rsidRDefault="00FE4AAD" w:rsidP="00FE4AAD">
      <w:pPr>
        <w:jc w:val="both"/>
      </w:pPr>
      <w:r>
        <w:fldChar w:fldCharType="end"/>
      </w:r>
    </w:p>
    <w:p w14:paraId="2F7C94DB" w14:textId="77777777" w:rsidR="00BA358C" w:rsidRPr="00BA358C" w:rsidRDefault="00BA358C" w:rsidP="00CC3326">
      <w:pPr>
        <w:pStyle w:val="Marc1"/>
      </w:pPr>
      <w:bookmarkStart w:id="0" w:name="_Toc36100424"/>
      <w:r w:rsidRPr="00BA358C">
        <w:t>Entrée en vigueur</w:t>
      </w:r>
      <w:bookmarkEnd w:id="0"/>
    </w:p>
    <w:p w14:paraId="596762E2" w14:textId="0F9296D8" w:rsidR="00BA358C" w:rsidRDefault="00BA358C" w:rsidP="00BA358C">
      <w:pPr>
        <w:jc w:val="both"/>
      </w:pPr>
      <w:r>
        <w:t>Application </w:t>
      </w:r>
      <w:r w:rsidR="00720A80">
        <w:t>immédiate au 26 mars 2020.</w:t>
      </w:r>
    </w:p>
    <w:p w14:paraId="0D6D4274" w14:textId="4A2E0142" w:rsidR="00BA358C" w:rsidRPr="00BA358C" w:rsidRDefault="00BA358C" w:rsidP="00CC3326">
      <w:pPr>
        <w:pStyle w:val="Marc1"/>
      </w:pPr>
      <w:bookmarkStart w:id="1" w:name="_Toc36100425"/>
      <w:r w:rsidRPr="00BA358C">
        <w:t>L</w:t>
      </w:r>
      <w:r w:rsidR="00720A80">
        <w:t xml:space="preserve">e </w:t>
      </w:r>
      <w:r w:rsidR="00720A80" w:rsidRPr="00CC3326">
        <w:t>complément</w:t>
      </w:r>
      <w:r w:rsidR="00720A80">
        <w:t xml:space="preserve"> de salaire en cas d’arrêt de travail</w:t>
      </w:r>
      <w:bookmarkEnd w:id="1"/>
    </w:p>
    <w:p w14:paraId="40813B62" w14:textId="0284556F" w:rsidR="00720A80" w:rsidRDefault="00720A80" w:rsidP="003B6C3C">
      <w:pPr>
        <w:jc w:val="both"/>
      </w:pPr>
      <w:r>
        <w:t>Application jusqu’au 31 août 2020</w:t>
      </w:r>
    </w:p>
    <w:p w14:paraId="2EA00004" w14:textId="42B8A43B" w:rsidR="00A35004" w:rsidRPr="00D46813" w:rsidRDefault="00720A80" w:rsidP="003B6C3C">
      <w:pPr>
        <w:jc w:val="both"/>
        <w:rPr>
          <w:b/>
          <w:bCs/>
        </w:rPr>
      </w:pPr>
      <w:r w:rsidRPr="00D46813">
        <w:rPr>
          <w:b/>
          <w:bCs/>
        </w:rPr>
        <w:t>Les cas visés :</w:t>
      </w:r>
    </w:p>
    <w:p w14:paraId="4071AFB3" w14:textId="3B54F962" w:rsidR="00720A80" w:rsidRDefault="00720A80" w:rsidP="00AA4EA4">
      <w:pPr>
        <w:pStyle w:val="Paragraphedeliste"/>
        <w:numPr>
          <w:ilvl w:val="0"/>
          <w:numId w:val="30"/>
        </w:numPr>
        <w:ind w:left="714" w:hanging="357"/>
        <w:contextualSpacing w:val="0"/>
        <w:jc w:val="both"/>
      </w:pPr>
      <w:r>
        <w:t>Salariés placés en arrêt « garde d’enfants de moins de 16 ans »</w:t>
      </w:r>
    </w:p>
    <w:p w14:paraId="45EFEA82" w14:textId="6B7CCC65" w:rsidR="00720A80" w:rsidRDefault="00720A80" w:rsidP="00AA4EA4">
      <w:pPr>
        <w:pStyle w:val="Paragraphedeliste"/>
        <w:numPr>
          <w:ilvl w:val="0"/>
          <w:numId w:val="30"/>
        </w:numPr>
        <w:ind w:left="714" w:hanging="357"/>
        <w:contextualSpacing w:val="0"/>
        <w:jc w:val="both"/>
      </w:pPr>
      <w:r>
        <w:t>Salariés placés en arrêt « personnes à risques »</w:t>
      </w:r>
    </w:p>
    <w:p w14:paraId="2DBA3980" w14:textId="4001E3AA" w:rsidR="00720A80" w:rsidRDefault="00720A80" w:rsidP="00AA4EA4">
      <w:pPr>
        <w:pStyle w:val="Paragraphedeliste"/>
        <w:numPr>
          <w:ilvl w:val="0"/>
          <w:numId w:val="30"/>
        </w:numPr>
        <w:ind w:left="714" w:hanging="357"/>
        <w:contextualSpacing w:val="0"/>
        <w:jc w:val="both"/>
      </w:pPr>
      <w:r>
        <w:t>Salariés en arrêt de travail maladie</w:t>
      </w:r>
    </w:p>
    <w:p w14:paraId="5A7FA0D9" w14:textId="4A713C97" w:rsidR="00720A80" w:rsidRPr="00D46813" w:rsidRDefault="00720A80" w:rsidP="003B6C3C">
      <w:pPr>
        <w:jc w:val="both"/>
        <w:rPr>
          <w:b/>
          <w:bCs/>
        </w:rPr>
      </w:pPr>
      <w:r w:rsidRPr="00D46813">
        <w:rPr>
          <w:b/>
          <w:bCs/>
        </w:rPr>
        <w:t>Ce que reçoit le salarié</w:t>
      </w:r>
      <w:r w:rsidR="00AA4EA4" w:rsidRPr="00D46813">
        <w:rPr>
          <w:b/>
          <w:bCs/>
        </w:rPr>
        <w:t> :</w:t>
      </w:r>
    </w:p>
    <w:p w14:paraId="3E1DB11D" w14:textId="77777777" w:rsidR="00AA4EA4" w:rsidRDefault="00720A80" w:rsidP="00AA4EA4">
      <w:pPr>
        <w:pStyle w:val="Paragraphedeliste"/>
        <w:numPr>
          <w:ilvl w:val="0"/>
          <w:numId w:val="30"/>
        </w:numPr>
        <w:ind w:left="714" w:hanging="357"/>
        <w:contextualSpacing w:val="0"/>
        <w:jc w:val="both"/>
      </w:pPr>
      <w:r>
        <w:t>Les indemnités journalières de la sécurité sociale</w:t>
      </w:r>
    </w:p>
    <w:p w14:paraId="44DB8E32" w14:textId="77777777" w:rsidR="00AA4EA4" w:rsidRDefault="00720A80" w:rsidP="00AA4EA4">
      <w:pPr>
        <w:pStyle w:val="Paragraphedeliste"/>
        <w:numPr>
          <w:ilvl w:val="0"/>
          <w:numId w:val="30"/>
        </w:numPr>
        <w:ind w:left="714" w:hanging="357"/>
        <w:contextualSpacing w:val="0"/>
        <w:jc w:val="both"/>
      </w:pPr>
      <w:r>
        <w:t>Le complément calculé dans les conditions légale</w:t>
      </w:r>
      <w:r w:rsidR="00AA4EA4">
        <w:t>s</w:t>
      </w:r>
      <w:r>
        <w:t xml:space="preserve"> (article L.1226-1 et D.1226-1</w:t>
      </w:r>
      <w:r w:rsidR="00AA4EA4">
        <w:t>)</w:t>
      </w:r>
    </w:p>
    <w:p w14:paraId="36F1DC9A" w14:textId="6B4C32E1" w:rsidR="00720A80" w:rsidRDefault="00720A80" w:rsidP="00AA4EA4">
      <w:pPr>
        <w:pStyle w:val="Paragraphedeliste"/>
        <w:numPr>
          <w:ilvl w:val="1"/>
          <w:numId w:val="30"/>
        </w:numPr>
        <w:contextualSpacing w:val="0"/>
        <w:jc w:val="both"/>
      </w:pPr>
      <w:r>
        <w:t xml:space="preserve">90 % du salaire brut pendant 30 jours puis 66,66 </w:t>
      </w:r>
      <w:r w:rsidR="00CC3326">
        <w:t>%</w:t>
      </w:r>
      <w:r>
        <w:t xml:space="preserve"> pendant 30 jours, avec augmentation de la durée en fonction de l’ancienneté)</w:t>
      </w:r>
    </w:p>
    <w:p w14:paraId="00C2CF7C" w14:textId="0F9D4933" w:rsidR="00AA4EA4" w:rsidRDefault="00AA4EA4" w:rsidP="00AA4EA4">
      <w:pPr>
        <w:pStyle w:val="Paragraphedeliste"/>
        <w:numPr>
          <w:ilvl w:val="1"/>
          <w:numId w:val="30"/>
        </w:numPr>
        <w:contextualSpacing w:val="0"/>
        <w:jc w:val="both"/>
      </w:pPr>
      <w:r>
        <w:t>Sans délai de carence (décret 2020-193 du 4 mars 2020)</w:t>
      </w:r>
    </w:p>
    <w:p w14:paraId="0CB763AB" w14:textId="3BBADCA8" w:rsidR="00AA4EA4" w:rsidRPr="00CC3326" w:rsidRDefault="00AA4EA4" w:rsidP="00AA4EA4">
      <w:pPr>
        <w:jc w:val="both"/>
        <w:rPr>
          <w:b/>
          <w:bCs/>
          <w:color w:val="247DB5"/>
        </w:rPr>
      </w:pPr>
      <w:r w:rsidRPr="00CC3326">
        <w:rPr>
          <w:b/>
          <w:bCs/>
          <w:color w:val="247DB5"/>
        </w:rPr>
        <w:t>Ce qui change :</w:t>
      </w:r>
    </w:p>
    <w:p w14:paraId="2A1B157D" w14:textId="2CCE8AA2" w:rsidR="00AA4EA4" w:rsidRPr="00AA4EA4" w:rsidRDefault="00AA4EA4" w:rsidP="00AA4EA4">
      <w:pPr>
        <w:pStyle w:val="Paragraphedeliste"/>
        <w:numPr>
          <w:ilvl w:val="0"/>
          <w:numId w:val="30"/>
        </w:numPr>
        <w:ind w:left="714" w:hanging="357"/>
        <w:contextualSpacing w:val="0"/>
        <w:jc w:val="both"/>
        <w:rPr>
          <w:color w:val="247DB5"/>
        </w:rPr>
      </w:pPr>
      <w:r w:rsidRPr="00AA4EA4">
        <w:rPr>
          <w:color w:val="247DB5"/>
        </w:rPr>
        <w:t xml:space="preserve">La condition d’ancienneté d’un an </w:t>
      </w:r>
      <w:r w:rsidR="00D46813">
        <w:rPr>
          <w:color w:val="247DB5"/>
        </w:rPr>
        <w:t xml:space="preserve">minimum </w:t>
      </w:r>
      <w:r w:rsidRPr="00AA4EA4">
        <w:rPr>
          <w:color w:val="247DB5"/>
        </w:rPr>
        <w:t>n’est plus exigée</w:t>
      </w:r>
    </w:p>
    <w:p w14:paraId="0BFB6C75" w14:textId="450C0E0A" w:rsidR="00AA4EA4" w:rsidRPr="00AA4EA4" w:rsidRDefault="00AA4EA4" w:rsidP="00AA4EA4">
      <w:pPr>
        <w:pStyle w:val="Paragraphedeliste"/>
        <w:numPr>
          <w:ilvl w:val="0"/>
          <w:numId w:val="30"/>
        </w:numPr>
        <w:ind w:left="714" w:hanging="357"/>
        <w:contextualSpacing w:val="0"/>
        <w:jc w:val="both"/>
        <w:rPr>
          <w:color w:val="247DB5"/>
        </w:rPr>
      </w:pPr>
      <w:r w:rsidRPr="00AA4EA4">
        <w:rPr>
          <w:color w:val="247DB5"/>
        </w:rPr>
        <w:t xml:space="preserve">Les </w:t>
      </w:r>
      <w:r w:rsidRPr="00AA4EA4">
        <w:rPr>
          <w:color w:val="247DB5"/>
        </w:rPr>
        <w:t xml:space="preserve">salariés travaillant à domicile, </w:t>
      </w:r>
      <w:r w:rsidRPr="00AA4EA4">
        <w:rPr>
          <w:color w:val="247DB5"/>
        </w:rPr>
        <w:t xml:space="preserve">les </w:t>
      </w:r>
      <w:r w:rsidRPr="00AA4EA4">
        <w:rPr>
          <w:color w:val="247DB5"/>
        </w:rPr>
        <w:t xml:space="preserve">saisonniers, </w:t>
      </w:r>
      <w:r w:rsidRPr="00AA4EA4">
        <w:rPr>
          <w:color w:val="247DB5"/>
        </w:rPr>
        <w:t xml:space="preserve">les </w:t>
      </w:r>
      <w:r w:rsidRPr="00AA4EA4">
        <w:rPr>
          <w:color w:val="247DB5"/>
        </w:rPr>
        <w:t xml:space="preserve">salariés intermittents et </w:t>
      </w:r>
      <w:r w:rsidRPr="00AA4EA4">
        <w:rPr>
          <w:color w:val="247DB5"/>
        </w:rPr>
        <w:t>les s</w:t>
      </w:r>
      <w:r w:rsidRPr="00AA4EA4">
        <w:rPr>
          <w:color w:val="247DB5"/>
        </w:rPr>
        <w:t>alariés temporaires</w:t>
      </w:r>
      <w:r w:rsidRPr="00AA4EA4">
        <w:rPr>
          <w:color w:val="247DB5"/>
        </w:rPr>
        <w:t xml:space="preserve"> en bénéficient.</w:t>
      </w:r>
      <w:bookmarkStart w:id="2" w:name="_GoBack"/>
      <w:bookmarkEnd w:id="2"/>
    </w:p>
    <w:p w14:paraId="2901ACF4" w14:textId="6C53910C" w:rsidR="00CE6937" w:rsidRPr="00CC3326" w:rsidRDefault="00AA4EA4" w:rsidP="003B6C3C">
      <w:pPr>
        <w:jc w:val="both"/>
        <w:rPr>
          <w:b/>
          <w:bCs/>
          <w:color w:val="247DB5"/>
        </w:rPr>
      </w:pPr>
      <w:r w:rsidRPr="00CC3326">
        <w:rPr>
          <w:b/>
          <w:bCs/>
          <w:color w:val="247DB5"/>
        </w:rPr>
        <w:t>Deux observations importantes :</w:t>
      </w:r>
    </w:p>
    <w:p w14:paraId="5CF06781" w14:textId="0359B5EC" w:rsidR="00AA4EA4" w:rsidRPr="00CC3326" w:rsidRDefault="00AA4EA4" w:rsidP="00CC3326">
      <w:pPr>
        <w:pStyle w:val="Paragraphedeliste"/>
        <w:numPr>
          <w:ilvl w:val="0"/>
          <w:numId w:val="30"/>
        </w:numPr>
        <w:ind w:left="714" w:hanging="357"/>
        <w:contextualSpacing w:val="0"/>
        <w:jc w:val="both"/>
        <w:rPr>
          <w:color w:val="247DB5"/>
        </w:rPr>
      </w:pPr>
      <w:r w:rsidRPr="00CC3326">
        <w:rPr>
          <w:color w:val="247DB5"/>
        </w:rPr>
        <w:t>Pour verser le complément de salaire, pour chaque arrêt de travail, l’employeur doit comparer le montant issu des dispositions légales (pas de carence, 90 % du salaire brut pendant une certaine durée) avec le montant prévu par la convention collective (ou le régime de prévoyance de l’entreprise) prévoyant éventuellement un délai de carence et un autre montant d’indemnisation (souvent 100 %).</w:t>
      </w:r>
      <w:r w:rsidR="00CC3326">
        <w:rPr>
          <w:color w:val="247DB5"/>
        </w:rPr>
        <w:t xml:space="preserve"> La suppression du délai de carence légal ne s’applique pas aux délais de carence prévus par les convention collective (à condition que le montant de l’indemnisation soit supérieur).</w:t>
      </w:r>
    </w:p>
    <w:p w14:paraId="0A8F5F08" w14:textId="0EE73F77" w:rsidR="00AA4EA4" w:rsidRDefault="00AA4EA4" w:rsidP="009B5975">
      <w:pPr>
        <w:pStyle w:val="Paragraphedeliste"/>
        <w:numPr>
          <w:ilvl w:val="0"/>
          <w:numId w:val="30"/>
        </w:numPr>
        <w:ind w:left="714" w:hanging="357"/>
        <w:contextualSpacing w:val="0"/>
        <w:jc w:val="both"/>
      </w:pPr>
      <w:r w:rsidRPr="00CC3326">
        <w:rPr>
          <w:color w:val="247DB5"/>
        </w:rPr>
        <w:t>Les assureurs membre de la Fédération Française de l’Assurance se sont engagés à couvrir le complément de salaire dans le cadre des régimes de prévoyance</w:t>
      </w:r>
      <w:r w:rsidR="00CC3326" w:rsidRPr="00CC3326">
        <w:rPr>
          <w:color w:val="247DB5"/>
        </w:rPr>
        <w:t>, même ne prévoyant pas les cas d’arrêts spéciaux liés au virus Covid-19. A vérifier auprès de chaque assureur le cas échéant.</w:t>
      </w:r>
    </w:p>
    <w:p w14:paraId="16F9762F" w14:textId="77777777" w:rsidR="00CC3326" w:rsidRDefault="00CC3326">
      <w:pPr>
        <w:rPr>
          <w:rFonts w:eastAsia="Times New Roman" w:cs="Arial"/>
          <w:b/>
          <w:bCs/>
          <w:color w:val="247DB5"/>
          <w:sz w:val="28"/>
          <w:szCs w:val="40"/>
          <w:lang w:eastAsia="fr-FR"/>
        </w:rPr>
      </w:pPr>
      <w:bookmarkStart w:id="3" w:name="_Toc36100426"/>
      <w:r>
        <w:br w:type="page"/>
      </w:r>
    </w:p>
    <w:p w14:paraId="2806CA87" w14:textId="60617CB1" w:rsidR="00475EDB" w:rsidRPr="0040793B" w:rsidRDefault="00475EDB" w:rsidP="00CC3326">
      <w:pPr>
        <w:pStyle w:val="Marc1"/>
      </w:pPr>
      <w:r>
        <w:lastRenderedPageBreak/>
        <w:t>Le</w:t>
      </w:r>
      <w:r w:rsidR="00CC3326">
        <w:t>s versements au titre de l’intéressement et de la participation</w:t>
      </w:r>
      <w:bookmarkEnd w:id="3"/>
    </w:p>
    <w:p w14:paraId="41F85497" w14:textId="6ED1EF68" w:rsidR="00CC3326" w:rsidRPr="00CC3326" w:rsidRDefault="00CC3326" w:rsidP="00CC3326">
      <w:pPr>
        <w:jc w:val="both"/>
        <w:rPr>
          <w:i/>
          <w:iCs/>
        </w:rPr>
      </w:pPr>
      <w:r w:rsidRPr="00CC3326">
        <w:rPr>
          <w:i/>
          <w:iCs/>
        </w:rPr>
        <w:t>Par dérogation aux dispositions du code du travail régissant le versement des sommes dues au titre de la participation ou de l'intéressement et aux stipulations conventionnelles applicables dans l'entreprise, la date limite de versement aux bénéficiaires ou d'affectation sur un plan d'épargne salariale ou un compte courant bloqué des sommes attribuées en 2020 au titre d'un régime d'intéressement ou de participation est reportée au 31 décembre 2020.</w:t>
      </w:r>
    </w:p>
    <w:p w14:paraId="39B8A328" w14:textId="77777777" w:rsidR="00CC3326" w:rsidRPr="00CC3326" w:rsidRDefault="00CC3326" w:rsidP="00CC3326">
      <w:pPr>
        <w:jc w:val="both"/>
        <w:rPr>
          <w:b/>
          <w:bCs/>
          <w:color w:val="247DB5"/>
        </w:rPr>
      </w:pPr>
      <w:r w:rsidRPr="00CC3326">
        <w:rPr>
          <w:b/>
          <w:bCs/>
          <w:color w:val="247DB5"/>
        </w:rPr>
        <w:t>MTA :</w:t>
      </w:r>
    </w:p>
    <w:p w14:paraId="06DA5EB9" w14:textId="0F9571FE" w:rsidR="00CC3326" w:rsidRPr="00CC3326" w:rsidRDefault="00CC3326" w:rsidP="00CC3326">
      <w:pPr>
        <w:pStyle w:val="Paragraphedeliste"/>
        <w:numPr>
          <w:ilvl w:val="0"/>
          <w:numId w:val="30"/>
        </w:numPr>
        <w:ind w:left="714" w:hanging="357"/>
        <w:contextualSpacing w:val="0"/>
        <w:jc w:val="both"/>
        <w:rPr>
          <w:color w:val="247DB5"/>
        </w:rPr>
      </w:pPr>
      <w:r w:rsidRPr="00CC3326">
        <w:rPr>
          <w:color w:val="247DB5"/>
        </w:rPr>
        <w:t>Disposition prévue pour alléger la trésorerie des entreprises</w:t>
      </w:r>
      <w:r>
        <w:rPr>
          <w:color w:val="247DB5"/>
        </w:rPr>
        <w:t xml:space="preserve"> et le travail des établissements financiers gérant l’épargne salariale.</w:t>
      </w:r>
    </w:p>
    <w:p w14:paraId="439F2453" w14:textId="59330E95" w:rsidR="00CC3326" w:rsidRPr="00CC3326" w:rsidRDefault="00CC3326" w:rsidP="00CC3326">
      <w:pPr>
        <w:pStyle w:val="Paragraphedeliste"/>
        <w:numPr>
          <w:ilvl w:val="0"/>
          <w:numId w:val="30"/>
        </w:numPr>
        <w:ind w:left="714" w:hanging="357"/>
        <w:contextualSpacing w:val="0"/>
        <w:jc w:val="both"/>
        <w:rPr>
          <w:color w:val="247DB5"/>
        </w:rPr>
      </w:pPr>
      <w:r w:rsidRPr="00CC3326">
        <w:rPr>
          <w:color w:val="247DB5"/>
        </w:rPr>
        <w:t>Le paiement étant légalement retardé n’entrainera pas l’application de majorations de retar</w:t>
      </w:r>
      <w:r>
        <w:rPr>
          <w:color w:val="247DB5"/>
        </w:rPr>
        <w:t>d (égales à 1,33 fois le taux moyen de rendement des obligations des sociétés privées)</w:t>
      </w:r>
      <w:r w:rsidRPr="00CC3326">
        <w:rPr>
          <w:color w:val="247DB5"/>
        </w:rPr>
        <w:t>.</w:t>
      </w:r>
    </w:p>
    <w:p w14:paraId="755AB871" w14:textId="77777777" w:rsidR="00AE0611" w:rsidRPr="00AE0611" w:rsidRDefault="00AE0611" w:rsidP="00CC3326">
      <w:pPr>
        <w:jc w:val="both"/>
      </w:pPr>
    </w:p>
    <w:sectPr w:rsidR="00AE0611" w:rsidRPr="00AE0611" w:rsidSect="00FE4AAD">
      <w:head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1C1F8" w14:textId="77777777" w:rsidR="00882582" w:rsidRDefault="00882582" w:rsidP="00FE4AAD">
      <w:pPr>
        <w:spacing w:after="0" w:line="240" w:lineRule="auto"/>
      </w:pPr>
      <w:r>
        <w:separator/>
      </w:r>
    </w:p>
  </w:endnote>
  <w:endnote w:type="continuationSeparator" w:id="0">
    <w:p w14:paraId="15152156" w14:textId="77777777" w:rsidR="00882582" w:rsidRDefault="00882582" w:rsidP="00FE4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D26F9" w14:textId="77777777" w:rsidR="00882582" w:rsidRDefault="00882582" w:rsidP="00FE4AAD">
      <w:pPr>
        <w:spacing w:after="0" w:line="240" w:lineRule="auto"/>
      </w:pPr>
      <w:r>
        <w:separator/>
      </w:r>
    </w:p>
  </w:footnote>
  <w:footnote w:type="continuationSeparator" w:id="0">
    <w:p w14:paraId="07D6D818" w14:textId="77777777" w:rsidR="00882582" w:rsidRDefault="00882582" w:rsidP="00FE4A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336367"/>
      <w:docPartObj>
        <w:docPartGallery w:val="Page Numbers (Top of Page)"/>
        <w:docPartUnique/>
      </w:docPartObj>
    </w:sdtPr>
    <w:sdtEndPr/>
    <w:sdtContent>
      <w:p w14:paraId="43B5289A" w14:textId="77777777" w:rsidR="00FE4AAD" w:rsidRDefault="00FE4AAD">
        <w:pPr>
          <w:pStyle w:val="En-tt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4C2CC123" w14:textId="77777777" w:rsidR="00FE4AAD" w:rsidRDefault="00FE4AA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76E69"/>
    <w:multiLevelType w:val="multilevel"/>
    <w:tmpl w:val="3640954E"/>
    <w:styleLink w:val="StyleMarc"/>
    <w:lvl w:ilvl="0">
      <w:start w:val="1"/>
      <w:numFmt w:val="decimal"/>
      <w:lvlText w:val="Article %1"/>
      <w:lvlJc w:val="left"/>
      <w:pPr>
        <w:ind w:left="1134" w:hanging="1134"/>
      </w:pPr>
      <w:rPr>
        <w:rFonts w:ascii="Arial" w:hAnsi="Arial" w:hint="default"/>
        <w:b/>
        <w:i w:val="0"/>
        <w:caps w:val="0"/>
        <w:strike w:val="0"/>
        <w:dstrike w:val="0"/>
        <w:vanish w:val="0"/>
        <w:sz w:val="20"/>
        <w:u w:val="single"/>
        <w:vertAlign w:val="baseline"/>
      </w:rPr>
    </w:lvl>
    <w:lvl w:ilvl="1">
      <w:start w:val="1"/>
      <w:numFmt w:val="decimal"/>
      <w:lvlText w:val="Article %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1" w15:restartNumberingAfterBreak="0">
    <w:nsid w:val="23872A9F"/>
    <w:multiLevelType w:val="hybridMultilevel"/>
    <w:tmpl w:val="81A2A4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5249D0"/>
    <w:multiLevelType w:val="multilevel"/>
    <w:tmpl w:val="4580BA9E"/>
    <w:lvl w:ilvl="0">
      <w:start w:val="1"/>
      <w:numFmt w:val="decimal"/>
      <w:lvlText w:val="%1."/>
      <w:lvlJc w:val="left"/>
      <w:pPr>
        <w:ind w:left="360" w:hanging="360"/>
      </w:pPr>
    </w:lvl>
    <w:lvl w:ilvl="1">
      <w:start w:val="1"/>
      <w:numFmt w:val="decimal"/>
      <w:pStyle w:val="Style2"/>
      <w:lvlText w:val="%1.%2."/>
      <w:lvlJc w:val="left"/>
      <w:pPr>
        <w:ind w:left="792" w:hanging="432"/>
      </w:pPr>
    </w:lvl>
    <w:lvl w:ilvl="2">
      <w:start w:val="1"/>
      <w:numFmt w:val="decimal"/>
      <w:pStyle w:val="Style3"/>
      <w:lvlText w:val="%1.%2.%3."/>
      <w:lvlJc w:val="left"/>
      <w:pPr>
        <w:ind w:left="1224" w:hanging="504"/>
      </w:pPr>
    </w:lvl>
    <w:lvl w:ilvl="3">
      <w:start w:val="1"/>
      <w:numFmt w:val="decimal"/>
      <w:pStyle w:val="Style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B137D8B"/>
    <w:multiLevelType w:val="hybridMultilevel"/>
    <w:tmpl w:val="150CD47E"/>
    <w:lvl w:ilvl="0" w:tplc="B8C8558C">
      <w:start w:val="1"/>
      <w:numFmt w:val="bullet"/>
      <w:lvlText w:val="-"/>
      <w:lvlJc w:val="left"/>
      <w:pPr>
        <w:ind w:left="720" w:hanging="360"/>
      </w:pPr>
      <w:rPr>
        <w:rFonts w:ascii="Arial" w:hAnsi="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2E454F2"/>
    <w:multiLevelType w:val="hybridMultilevel"/>
    <w:tmpl w:val="5C0EE7D0"/>
    <w:lvl w:ilvl="0" w:tplc="BFEA1BF2">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80109AB"/>
    <w:multiLevelType w:val="hybridMultilevel"/>
    <w:tmpl w:val="20D611A8"/>
    <w:lvl w:ilvl="0" w:tplc="DB8E8E02">
      <w:start w:val="1"/>
      <w:numFmt w:val="decimal"/>
      <w:lvlText w:val="Article %1."/>
      <w:lvlJc w:val="left"/>
      <w:pPr>
        <w:ind w:left="360" w:hanging="360"/>
      </w:pPr>
      <w:rPr>
        <w:rFonts w:hint="default"/>
      </w:rPr>
    </w:lvl>
    <w:lvl w:ilvl="1" w:tplc="C032CAEC">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5F657191"/>
    <w:multiLevelType w:val="multilevel"/>
    <w:tmpl w:val="1B46D648"/>
    <w:lvl w:ilvl="0">
      <w:start w:val="1"/>
      <w:numFmt w:val="decimal"/>
      <w:lvlText w:val="%1."/>
      <w:lvlJc w:val="left"/>
      <w:pPr>
        <w:tabs>
          <w:tab w:val="num" w:pos="720"/>
        </w:tabs>
        <w:ind w:left="720" w:hanging="720"/>
      </w:pPr>
    </w:lvl>
    <w:lvl w:ilvl="1">
      <w:start w:val="1"/>
      <w:numFmt w:val="decimal"/>
      <w:pStyle w:val="Marc3"/>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5925C61"/>
    <w:multiLevelType w:val="multilevel"/>
    <w:tmpl w:val="5D18D010"/>
    <w:lvl w:ilvl="0">
      <w:start w:val="1"/>
      <w:numFmt w:val="decimal"/>
      <w:pStyle w:val="Marc1"/>
      <w:lvlText w:val="%1."/>
      <w:lvlJc w:val="left"/>
      <w:pPr>
        <w:ind w:left="360" w:hanging="360"/>
      </w:pPr>
    </w:lvl>
    <w:lvl w:ilvl="1">
      <w:start w:val="1"/>
      <w:numFmt w:val="decimal"/>
      <w:pStyle w:val="Marc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98D0FAE"/>
    <w:multiLevelType w:val="multilevel"/>
    <w:tmpl w:val="1324B106"/>
    <w:lvl w:ilvl="0">
      <w:start w:val="1"/>
      <w:numFmt w:val="decimal"/>
      <w:lvlText w:val="%1."/>
      <w:lvlJc w:val="left"/>
      <w:pPr>
        <w:ind w:left="0" w:firstLine="0"/>
      </w:pPr>
      <w:rPr>
        <w:rFonts w:ascii="Arial" w:hAnsi="Arial" w:hint="default"/>
        <w:caps w:val="0"/>
        <w:strike w:val="0"/>
        <w:dstrike w:val="0"/>
        <w:vanish w:val="0"/>
        <w:color w:val="247DB5"/>
        <w:vertAlign w:val="baseline"/>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5"/>
  </w:num>
  <w:num w:numId="3">
    <w:abstractNumId w:val="6"/>
  </w:num>
  <w:num w:numId="4">
    <w:abstractNumId w:val="8"/>
  </w:num>
  <w:num w:numId="5">
    <w:abstractNumId w:val="8"/>
  </w:num>
  <w:num w:numId="6">
    <w:abstractNumId w:val="8"/>
  </w:num>
  <w:num w:numId="7">
    <w:abstractNumId w:val="8"/>
  </w:num>
  <w:num w:numId="8">
    <w:abstractNumId w:val="2"/>
  </w:num>
  <w:num w:numId="9">
    <w:abstractNumId w:val="2"/>
  </w:num>
  <w:num w:numId="10">
    <w:abstractNumId w:val="2"/>
  </w:num>
  <w:num w:numId="11">
    <w:abstractNumId w:val="2"/>
  </w:num>
  <w:num w:numId="12">
    <w:abstractNumId w:val="2"/>
  </w:num>
  <w:num w:numId="13">
    <w:abstractNumId w:val="2"/>
  </w:num>
  <w:num w:numId="14">
    <w:abstractNumId w:val="7"/>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1"/>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004"/>
    <w:rsid w:val="00337969"/>
    <w:rsid w:val="0038324E"/>
    <w:rsid w:val="003B6C3C"/>
    <w:rsid w:val="0040793B"/>
    <w:rsid w:val="0045385D"/>
    <w:rsid w:val="00475EDB"/>
    <w:rsid w:val="004F3EED"/>
    <w:rsid w:val="006F13DD"/>
    <w:rsid w:val="00716973"/>
    <w:rsid w:val="00720A80"/>
    <w:rsid w:val="00882582"/>
    <w:rsid w:val="00902C8F"/>
    <w:rsid w:val="00942F9A"/>
    <w:rsid w:val="00947D36"/>
    <w:rsid w:val="00955CBA"/>
    <w:rsid w:val="009739DE"/>
    <w:rsid w:val="00A35004"/>
    <w:rsid w:val="00AA4EA4"/>
    <w:rsid w:val="00AE0611"/>
    <w:rsid w:val="00BA358C"/>
    <w:rsid w:val="00BC27FC"/>
    <w:rsid w:val="00BF627C"/>
    <w:rsid w:val="00C45205"/>
    <w:rsid w:val="00CC3326"/>
    <w:rsid w:val="00CE6937"/>
    <w:rsid w:val="00D34999"/>
    <w:rsid w:val="00D46813"/>
    <w:rsid w:val="00DA2A46"/>
    <w:rsid w:val="00FE4A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1EE6E"/>
  <w15:chartTrackingRefBased/>
  <w15:docId w15:val="{ECB96EA5-3DB9-4CD1-8BC9-11DC8D37A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3DD"/>
  </w:style>
  <w:style w:type="paragraph" w:styleId="Titre1">
    <w:name w:val="heading 1"/>
    <w:basedOn w:val="Normal"/>
    <w:next w:val="Normal"/>
    <w:link w:val="Titre1Car"/>
    <w:uiPriority w:val="9"/>
    <w:qFormat/>
    <w:rsid w:val="00FE4A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6F13D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StyleMarc">
    <w:name w:val="Style Marc"/>
    <w:uiPriority w:val="99"/>
    <w:rsid w:val="00C45205"/>
    <w:pPr>
      <w:numPr>
        <w:numId w:val="1"/>
      </w:numPr>
    </w:pPr>
  </w:style>
  <w:style w:type="paragraph" w:customStyle="1" w:styleId="Marc3">
    <w:name w:val="Marc 3"/>
    <w:basedOn w:val="Normal"/>
    <w:link w:val="Marc3Car"/>
    <w:qFormat/>
    <w:rsid w:val="00D34999"/>
    <w:pPr>
      <w:numPr>
        <w:ilvl w:val="1"/>
        <w:numId w:val="3"/>
      </w:numPr>
      <w:spacing w:before="240" w:after="240" w:line="276" w:lineRule="auto"/>
      <w:ind w:left="1080" w:hanging="360"/>
      <w:jc w:val="both"/>
    </w:pPr>
    <w:rPr>
      <w:rFonts w:eastAsia="Arial" w:cs="Arial"/>
      <w:b/>
      <w:color w:val="666699"/>
      <w:sz w:val="23"/>
      <w:szCs w:val="23"/>
      <w:u w:val="single"/>
    </w:rPr>
  </w:style>
  <w:style w:type="character" w:customStyle="1" w:styleId="Marc3Car">
    <w:name w:val="Marc 3 Car"/>
    <w:basedOn w:val="Policepardfaut"/>
    <w:link w:val="Marc3"/>
    <w:rsid w:val="00D34999"/>
    <w:rPr>
      <w:rFonts w:eastAsia="Arial" w:cs="Arial"/>
      <w:b/>
      <w:color w:val="666699"/>
      <w:sz w:val="23"/>
      <w:szCs w:val="23"/>
      <w:u w:val="single"/>
    </w:rPr>
  </w:style>
  <w:style w:type="paragraph" w:customStyle="1" w:styleId="Marc1">
    <w:name w:val="Marc1"/>
    <w:next w:val="Normal"/>
    <w:link w:val="Marc1Car"/>
    <w:qFormat/>
    <w:rsid w:val="00CC3326"/>
    <w:pPr>
      <w:numPr>
        <w:numId w:val="14"/>
      </w:numPr>
      <w:spacing w:before="240" w:after="240"/>
      <w:ind w:left="1134" w:hanging="1134"/>
      <w:jc w:val="both"/>
      <w:outlineLvl w:val="0"/>
    </w:pPr>
    <w:rPr>
      <w:rFonts w:eastAsia="Times New Roman" w:cs="Arial"/>
      <w:b/>
      <w:bCs/>
      <w:color w:val="247DB5"/>
      <w:sz w:val="28"/>
      <w:szCs w:val="40"/>
      <w:lang w:eastAsia="fr-FR"/>
    </w:rPr>
  </w:style>
  <w:style w:type="character" w:customStyle="1" w:styleId="Marc1Car">
    <w:name w:val="Marc1 Car"/>
    <w:basedOn w:val="Titre2Car"/>
    <w:link w:val="Marc1"/>
    <w:rsid w:val="00CC3326"/>
    <w:rPr>
      <w:rFonts w:asciiTheme="majorHAnsi" w:eastAsia="Times New Roman" w:hAnsiTheme="majorHAnsi" w:cs="Arial"/>
      <w:b/>
      <w:bCs/>
      <w:color w:val="247DB5"/>
      <w:sz w:val="28"/>
      <w:szCs w:val="40"/>
      <w:lang w:eastAsia="fr-FR"/>
    </w:rPr>
  </w:style>
  <w:style w:type="character" w:customStyle="1" w:styleId="Titre2Car">
    <w:name w:val="Titre 2 Car"/>
    <w:basedOn w:val="Policepardfaut"/>
    <w:link w:val="Titre2"/>
    <w:uiPriority w:val="9"/>
    <w:semiHidden/>
    <w:rsid w:val="006F13DD"/>
    <w:rPr>
      <w:rFonts w:asciiTheme="majorHAnsi" w:eastAsiaTheme="majorEastAsia" w:hAnsiTheme="majorHAnsi" w:cstheme="majorBidi"/>
      <w:color w:val="2F5496" w:themeColor="accent1" w:themeShade="BF"/>
      <w:sz w:val="26"/>
      <w:szCs w:val="26"/>
    </w:rPr>
  </w:style>
  <w:style w:type="paragraph" w:customStyle="1" w:styleId="Marc2">
    <w:name w:val="Marc2"/>
    <w:basedOn w:val="Marc1"/>
    <w:link w:val="Marc2Car"/>
    <w:qFormat/>
    <w:rsid w:val="00BA358C"/>
    <w:pPr>
      <w:numPr>
        <w:ilvl w:val="1"/>
      </w:numPr>
    </w:pPr>
  </w:style>
  <w:style w:type="character" w:customStyle="1" w:styleId="Marc2Car">
    <w:name w:val="Marc2 Car"/>
    <w:basedOn w:val="Policepardfaut"/>
    <w:link w:val="Marc2"/>
    <w:rsid w:val="00BA358C"/>
    <w:rPr>
      <w:rFonts w:eastAsia="Times New Roman" w:cs="Arial"/>
      <w:b/>
      <w:bCs/>
      <w:color w:val="247DB5"/>
      <w:sz w:val="28"/>
      <w:szCs w:val="40"/>
      <w:lang w:eastAsia="fr-FR"/>
    </w:rPr>
  </w:style>
  <w:style w:type="paragraph" w:customStyle="1" w:styleId="Style2">
    <w:name w:val="Style2"/>
    <w:basedOn w:val="Normal"/>
    <w:link w:val="Style2Car"/>
    <w:qFormat/>
    <w:rsid w:val="00955CBA"/>
    <w:pPr>
      <w:numPr>
        <w:ilvl w:val="1"/>
        <w:numId w:val="13"/>
      </w:numPr>
      <w:shd w:val="clear" w:color="auto" w:fill="FFFFFF"/>
      <w:spacing w:before="150" w:after="150" w:line="240" w:lineRule="auto"/>
      <w:jc w:val="both"/>
    </w:pPr>
    <w:rPr>
      <w:rFonts w:ascii="Times New Roman" w:eastAsia="Times New Roman" w:hAnsi="Times New Roman" w:cs="Arial"/>
      <w:b/>
      <w:bCs/>
      <w:color w:val="247DB5"/>
      <w:sz w:val="24"/>
      <w:szCs w:val="24"/>
      <w:lang w:eastAsia="fr-FR"/>
    </w:rPr>
  </w:style>
  <w:style w:type="character" w:customStyle="1" w:styleId="Style2Car">
    <w:name w:val="Style2 Car"/>
    <w:basedOn w:val="Policepardfaut"/>
    <w:link w:val="Style2"/>
    <w:rsid w:val="00955CBA"/>
    <w:rPr>
      <w:rFonts w:ascii="Times New Roman" w:eastAsia="Times New Roman" w:hAnsi="Times New Roman" w:cs="Arial"/>
      <w:b/>
      <w:bCs/>
      <w:color w:val="247DB5"/>
      <w:sz w:val="24"/>
      <w:szCs w:val="24"/>
      <w:shd w:val="clear" w:color="auto" w:fill="FFFFFF"/>
      <w:lang w:eastAsia="fr-FR"/>
    </w:rPr>
  </w:style>
  <w:style w:type="paragraph" w:customStyle="1" w:styleId="Style3">
    <w:name w:val="Style3"/>
    <w:basedOn w:val="Normal"/>
    <w:link w:val="Style3Car"/>
    <w:qFormat/>
    <w:rsid w:val="00955CBA"/>
    <w:pPr>
      <w:numPr>
        <w:ilvl w:val="2"/>
        <w:numId w:val="13"/>
      </w:numPr>
      <w:shd w:val="clear" w:color="auto" w:fill="FFFFFF"/>
      <w:spacing w:before="150" w:after="150" w:line="240" w:lineRule="auto"/>
      <w:jc w:val="both"/>
    </w:pPr>
    <w:rPr>
      <w:rFonts w:ascii="Times New Roman" w:eastAsia="Times New Roman" w:hAnsi="Times New Roman" w:cs="Arial"/>
      <w:b/>
      <w:bCs/>
      <w:color w:val="247DB5"/>
      <w:sz w:val="24"/>
      <w:szCs w:val="24"/>
      <w:lang w:eastAsia="fr-FR"/>
    </w:rPr>
  </w:style>
  <w:style w:type="character" w:customStyle="1" w:styleId="Style3Car">
    <w:name w:val="Style3 Car"/>
    <w:basedOn w:val="Policepardfaut"/>
    <w:link w:val="Style3"/>
    <w:rsid w:val="00955CBA"/>
    <w:rPr>
      <w:rFonts w:ascii="Times New Roman" w:eastAsia="Times New Roman" w:hAnsi="Times New Roman" w:cs="Arial"/>
      <w:b/>
      <w:bCs/>
      <w:color w:val="247DB5"/>
      <w:sz w:val="24"/>
      <w:szCs w:val="24"/>
      <w:shd w:val="clear" w:color="auto" w:fill="FFFFFF"/>
      <w:lang w:eastAsia="fr-FR"/>
    </w:rPr>
  </w:style>
  <w:style w:type="paragraph" w:customStyle="1" w:styleId="Style4">
    <w:name w:val="Style4"/>
    <w:basedOn w:val="Normal"/>
    <w:link w:val="Style4Car"/>
    <w:qFormat/>
    <w:rsid w:val="00955CBA"/>
    <w:pPr>
      <w:numPr>
        <w:ilvl w:val="3"/>
        <w:numId w:val="13"/>
      </w:numPr>
      <w:shd w:val="clear" w:color="auto" w:fill="FFFFFF"/>
      <w:spacing w:before="150" w:after="150" w:line="240" w:lineRule="auto"/>
      <w:jc w:val="both"/>
    </w:pPr>
    <w:rPr>
      <w:rFonts w:ascii="Times New Roman" w:eastAsia="Times New Roman" w:hAnsi="Times New Roman" w:cs="Arial"/>
      <w:b/>
      <w:bCs/>
      <w:color w:val="247DB5"/>
      <w:sz w:val="24"/>
      <w:szCs w:val="24"/>
      <w:lang w:eastAsia="fr-FR"/>
    </w:rPr>
  </w:style>
  <w:style w:type="character" w:customStyle="1" w:styleId="Style4Car">
    <w:name w:val="Style4 Car"/>
    <w:basedOn w:val="Policepardfaut"/>
    <w:link w:val="Style4"/>
    <w:rsid w:val="00955CBA"/>
    <w:rPr>
      <w:rFonts w:ascii="Times New Roman" w:eastAsia="Times New Roman" w:hAnsi="Times New Roman" w:cs="Arial"/>
      <w:b/>
      <w:bCs/>
      <w:color w:val="247DB5"/>
      <w:sz w:val="24"/>
      <w:szCs w:val="24"/>
      <w:shd w:val="clear" w:color="auto" w:fill="FFFFFF"/>
      <w:lang w:eastAsia="fr-FR"/>
    </w:rPr>
  </w:style>
  <w:style w:type="paragraph" w:customStyle="1" w:styleId="Style5">
    <w:name w:val="Style5"/>
    <w:basedOn w:val="Normal"/>
    <w:link w:val="Style5Car"/>
    <w:qFormat/>
    <w:rsid w:val="00955CBA"/>
    <w:pPr>
      <w:shd w:val="clear" w:color="auto" w:fill="FFFFFF"/>
      <w:spacing w:before="150" w:after="150" w:line="240" w:lineRule="auto"/>
      <w:jc w:val="both"/>
    </w:pPr>
    <w:rPr>
      <w:rFonts w:ascii="Times New Roman" w:eastAsia="Times New Roman" w:hAnsi="Times New Roman" w:cs="Arial"/>
      <w:b/>
      <w:bCs/>
      <w:color w:val="247DB5"/>
      <w:sz w:val="24"/>
      <w:szCs w:val="24"/>
      <w:lang w:eastAsia="fr-FR"/>
    </w:rPr>
  </w:style>
  <w:style w:type="character" w:customStyle="1" w:styleId="Style5Car">
    <w:name w:val="Style5 Car"/>
    <w:basedOn w:val="Policepardfaut"/>
    <w:link w:val="Style5"/>
    <w:rsid w:val="00955CBA"/>
    <w:rPr>
      <w:rFonts w:ascii="Times New Roman" w:eastAsia="Times New Roman" w:hAnsi="Times New Roman" w:cs="Arial"/>
      <w:b/>
      <w:bCs/>
      <w:color w:val="247DB5"/>
      <w:sz w:val="24"/>
      <w:szCs w:val="24"/>
      <w:shd w:val="clear" w:color="auto" w:fill="FFFFFF"/>
      <w:lang w:eastAsia="fr-FR"/>
    </w:rPr>
  </w:style>
  <w:style w:type="paragraph" w:styleId="TM1">
    <w:name w:val="toc 1"/>
    <w:basedOn w:val="Normal"/>
    <w:next w:val="Normal"/>
    <w:autoRedefine/>
    <w:uiPriority w:val="39"/>
    <w:unhideWhenUsed/>
    <w:rsid w:val="00955CBA"/>
    <w:pPr>
      <w:spacing w:after="100"/>
    </w:pPr>
    <w:rPr>
      <w:rFonts w:eastAsiaTheme="minorEastAsia" w:cs="Times New Roman"/>
      <w:b/>
      <w:color w:val="247DB5"/>
      <w:sz w:val="24"/>
      <w:szCs w:val="22"/>
      <w:lang w:eastAsia="fr-FR"/>
    </w:rPr>
  </w:style>
  <w:style w:type="paragraph" w:styleId="TM3">
    <w:name w:val="toc 3"/>
    <w:basedOn w:val="Normal"/>
    <w:next w:val="Normal"/>
    <w:autoRedefine/>
    <w:uiPriority w:val="39"/>
    <w:unhideWhenUsed/>
    <w:rsid w:val="00955CBA"/>
    <w:pPr>
      <w:spacing w:after="100"/>
      <w:ind w:left="440"/>
    </w:pPr>
    <w:rPr>
      <w:rFonts w:eastAsiaTheme="minorEastAsia" w:cs="Times New Roman"/>
      <w:color w:val="247DB5"/>
      <w:szCs w:val="22"/>
      <w:lang w:eastAsia="fr-FR"/>
    </w:rPr>
  </w:style>
  <w:style w:type="paragraph" w:styleId="TM2">
    <w:name w:val="toc 2"/>
    <w:basedOn w:val="Normal"/>
    <w:next w:val="Normal"/>
    <w:autoRedefine/>
    <w:uiPriority w:val="39"/>
    <w:unhideWhenUsed/>
    <w:rsid w:val="00955CBA"/>
    <w:pPr>
      <w:spacing w:after="100"/>
      <w:ind w:left="220"/>
    </w:pPr>
    <w:rPr>
      <w:rFonts w:eastAsiaTheme="minorEastAsia" w:cs="Times New Roman"/>
      <w:b/>
      <w:color w:val="247DB5"/>
      <w:sz w:val="22"/>
      <w:szCs w:val="22"/>
      <w:lang w:eastAsia="fr-FR"/>
    </w:rPr>
  </w:style>
  <w:style w:type="paragraph" w:styleId="TM4">
    <w:name w:val="toc 4"/>
    <w:basedOn w:val="Normal"/>
    <w:next w:val="Normal"/>
    <w:autoRedefine/>
    <w:uiPriority w:val="39"/>
    <w:unhideWhenUsed/>
    <w:rsid w:val="00955CBA"/>
    <w:pPr>
      <w:spacing w:after="100"/>
      <w:ind w:left="600"/>
    </w:pPr>
    <w:rPr>
      <w:color w:val="247DB5"/>
    </w:rPr>
  </w:style>
  <w:style w:type="paragraph" w:styleId="TM5">
    <w:name w:val="toc 5"/>
    <w:basedOn w:val="Normal"/>
    <w:next w:val="Normal"/>
    <w:autoRedefine/>
    <w:uiPriority w:val="39"/>
    <w:semiHidden/>
    <w:unhideWhenUsed/>
    <w:rsid w:val="00955CBA"/>
    <w:pPr>
      <w:spacing w:after="100"/>
      <w:ind w:left="800"/>
    </w:pPr>
    <w:rPr>
      <w:color w:val="247DB5"/>
    </w:rPr>
  </w:style>
  <w:style w:type="paragraph" w:styleId="Paragraphedeliste">
    <w:name w:val="List Paragraph"/>
    <w:basedOn w:val="Normal"/>
    <w:uiPriority w:val="34"/>
    <w:qFormat/>
    <w:rsid w:val="00AE0611"/>
    <w:pPr>
      <w:ind w:left="720"/>
      <w:contextualSpacing/>
    </w:pPr>
  </w:style>
  <w:style w:type="character" w:customStyle="1" w:styleId="Titre1Car">
    <w:name w:val="Titre 1 Car"/>
    <w:basedOn w:val="Policepardfaut"/>
    <w:link w:val="Titre1"/>
    <w:uiPriority w:val="9"/>
    <w:rsid w:val="00FE4AAD"/>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rsid w:val="00FE4AAD"/>
    <w:pPr>
      <w:outlineLvl w:val="9"/>
    </w:pPr>
    <w:rPr>
      <w:lang w:eastAsia="fr-FR"/>
    </w:rPr>
  </w:style>
  <w:style w:type="character" w:styleId="Lienhypertexte">
    <w:name w:val="Hyperlink"/>
    <w:basedOn w:val="Policepardfaut"/>
    <w:uiPriority w:val="99"/>
    <w:unhideWhenUsed/>
    <w:rsid w:val="00FE4AAD"/>
    <w:rPr>
      <w:color w:val="0563C1" w:themeColor="hyperlink"/>
      <w:u w:val="single"/>
    </w:rPr>
  </w:style>
  <w:style w:type="paragraph" w:styleId="En-tte">
    <w:name w:val="header"/>
    <w:basedOn w:val="Normal"/>
    <w:link w:val="En-tteCar"/>
    <w:uiPriority w:val="99"/>
    <w:unhideWhenUsed/>
    <w:rsid w:val="00FE4AAD"/>
    <w:pPr>
      <w:tabs>
        <w:tab w:val="center" w:pos="4536"/>
        <w:tab w:val="right" w:pos="9072"/>
      </w:tabs>
      <w:spacing w:after="0" w:line="240" w:lineRule="auto"/>
    </w:pPr>
  </w:style>
  <w:style w:type="character" w:customStyle="1" w:styleId="En-tteCar">
    <w:name w:val="En-tête Car"/>
    <w:basedOn w:val="Policepardfaut"/>
    <w:link w:val="En-tte"/>
    <w:uiPriority w:val="99"/>
    <w:rsid w:val="00FE4AAD"/>
  </w:style>
  <w:style w:type="paragraph" w:styleId="Pieddepage">
    <w:name w:val="footer"/>
    <w:basedOn w:val="Normal"/>
    <w:link w:val="PieddepageCar"/>
    <w:uiPriority w:val="99"/>
    <w:unhideWhenUsed/>
    <w:rsid w:val="00FE4AA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4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32233">
      <w:bodyDiv w:val="1"/>
      <w:marLeft w:val="0"/>
      <w:marRight w:val="0"/>
      <w:marTop w:val="0"/>
      <w:marBottom w:val="0"/>
      <w:divBdr>
        <w:top w:val="none" w:sz="0" w:space="0" w:color="auto"/>
        <w:left w:val="none" w:sz="0" w:space="0" w:color="auto"/>
        <w:bottom w:val="none" w:sz="0" w:space="0" w:color="auto"/>
        <w:right w:val="none" w:sz="0" w:space="0" w:color="auto"/>
      </w:divBdr>
      <w:divsChild>
        <w:div w:id="925574269">
          <w:marLeft w:val="0"/>
          <w:marRight w:val="0"/>
          <w:marTop w:val="525"/>
          <w:marBottom w:val="525"/>
          <w:divBdr>
            <w:top w:val="none" w:sz="0" w:space="0" w:color="auto"/>
            <w:left w:val="none" w:sz="0" w:space="0" w:color="auto"/>
            <w:bottom w:val="none" w:sz="0" w:space="0" w:color="auto"/>
            <w:right w:val="none" w:sz="0" w:space="0" w:color="auto"/>
          </w:divBdr>
          <w:divsChild>
            <w:div w:id="600114965">
              <w:marLeft w:val="0"/>
              <w:marRight w:val="0"/>
              <w:marTop w:val="0"/>
              <w:marBottom w:val="150"/>
              <w:divBdr>
                <w:top w:val="none" w:sz="0" w:space="0" w:color="auto"/>
                <w:left w:val="none" w:sz="0" w:space="0" w:color="auto"/>
                <w:bottom w:val="none" w:sz="0" w:space="0" w:color="auto"/>
                <w:right w:val="none" w:sz="0" w:space="0" w:color="auto"/>
              </w:divBdr>
            </w:div>
            <w:div w:id="1283730021">
              <w:marLeft w:val="0"/>
              <w:marRight w:val="0"/>
              <w:marTop w:val="0"/>
              <w:marBottom w:val="150"/>
              <w:divBdr>
                <w:top w:val="none" w:sz="0" w:space="0" w:color="auto"/>
                <w:left w:val="none" w:sz="0" w:space="0" w:color="auto"/>
                <w:bottom w:val="none" w:sz="0" w:space="0" w:color="auto"/>
                <w:right w:val="none" w:sz="0" w:space="0" w:color="auto"/>
              </w:divBdr>
            </w:div>
            <w:div w:id="1852059746">
              <w:marLeft w:val="0"/>
              <w:marRight w:val="0"/>
              <w:marTop w:val="150"/>
              <w:marBottom w:val="0"/>
              <w:divBdr>
                <w:top w:val="none" w:sz="0" w:space="0" w:color="auto"/>
                <w:left w:val="none" w:sz="0" w:space="0" w:color="auto"/>
                <w:bottom w:val="none" w:sz="0" w:space="0" w:color="auto"/>
                <w:right w:val="none" w:sz="0" w:space="0" w:color="auto"/>
              </w:divBdr>
            </w:div>
          </w:divsChild>
        </w:div>
        <w:div w:id="1499492954">
          <w:marLeft w:val="0"/>
          <w:marRight w:val="0"/>
          <w:marTop w:val="525"/>
          <w:marBottom w:val="525"/>
          <w:divBdr>
            <w:top w:val="none" w:sz="0" w:space="0" w:color="auto"/>
            <w:left w:val="none" w:sz="0" w:space="0" w:color="auto"/>
            <w:bottom w:val="none" w:sz="0" w:space="0" w:color="auto"/>
            <w:right w:val="none" w:sz="0" w:space="0" w:color="auto"/>
          </w:divBdr>
          <w:divsChild>
            <w:div w:id="1402676865">
              <w:marLeft w:val="0"/>
              <w:marRight w:val="0"/>
              <w:marTop w:val="0"/>
              <w:marBottom w:val="150"/>
              <w:divBdr>
                <w:top w:val="none" w:sz="0" w:space="0" w:color="auto"/>
                <w:left w:val="none" w:sz="0" w:space="0" w:color="auto"/>
                <w:bottom w:val="none" w:sz="0" w:space="0" w:color="auto"/>
                <w:right w:val="none" w:sz="0" w:space="0" w:color="auto"/>
              </w:divBdr>
            </w:div>
            <w:div w:id="887690501">
              <w:marLeft w:val="0"/>
              <w:marRight w:val="0"/>
              <w:marTop w:val="0"/>
              <w:marBottom w:val="150"/>
              <w:divBdr>
                <w:top w:val="none" w:sz="0" w:space="0" w:color="auto"/>
                <w:left w:val="none" w:sz="0" w:space="0" w:color="auto"/>
                <w:bottom w:val="none" w:sz="0" w:space="0" w:color="auto"/>
                <w:right w:val="none" w:sz="0" w:space="0" w:color="auto"/>
              </w:divBdr>
            </w:div>
            <w:div w:id="21314307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1321753">
      <w:bodyDiv w:val="1"/>
      <w:marLeft w:val="0"/>
      <w:marRight w:val="0"/>
      <w:marTop w:val="0"/>
      <w:marBottom w:val="0"/>
      <w:divBdr>
        <w:top w:val="none" w:sz="0" w:space="0" w:color="auto"/>
        <w:left w:val="none" w:sz="0" w:space="0" w:color="auto"/>
        <w:bottom w:val="none" w:sz="0" w:space="0" w:color="auto"/>
        <w:right w:val="none" w:sz="0" w:space="0" w:color="auto"/>
      </w:divBdr>
      <w:divsChild>
        <w:div w:id="70784345">
          <w:marLeft w:val="0"/>
          <w:marRight w:val="0"/>
          <w:marTop w:val="0"/>
          <w:marBottom w:val="150"/>
          <w:divBdr>
            <w:top w:val="none" w:sz="0" w:space="0" w:color="auto"/>
            <w:left w:val="none" w:sz="0" w:space="0" w:color="auto"/>
            <w:bottom w:val="none" w:sz="0" w:space="0" w:color="auto"/>
            <w:right w:val="none" w:sz="0" w:space="0" w:color="auto"/>
          </w:divBdr>
        </w:div>
        <w:div w:id="414325664">
          <w:marLeft w:val="0"/>
          <w:marRight w:val="0"/>
          <w:marTop w:val="0"/>
          <w:marBottom w:val="150"/>
          <w:divBdr>
            <w:top w:val="none" w:sz="0" w:space="0" w:color="auto"/>
            <w:left w:val="none" w:sz="0" w:space="0" w:color="auto"/>
            <w:bottom w:val="none" w:sz="0" w:space="0" w:color="auto"/>
            <w:right w:val="none" w:sz="0" w:space="0" w:color="auto"/>
          </w:divBdr>
        </w:div>
        <w:div w:id="1374185246">
          <w:marLeft w:val="0"/>
          <w:marRight w:val="0"/>
          <w:marTop w:val="150"/>
          <w:marBottom w:val="0"/>
          <w:divBdr>
            <w:top w:val="none" w:sz="0" w:space="0" w:color="auto"/>
            <w:left w:val="none" w:sz="0" w:space="0" w:color="auto"/>
            <w:bottom w:val="none" w:sz="0" w:space="0" w:color="auto"/>
            <w:right w:val="none" w:sz="0" w:space="0" w:color="auto"/>
          </w:divBdr>
        </w:div>
      </w:divsChild>
    </w:div>
    <w:div w:id="103817267">
      <w:bodyDiv w:val="1"/>
      <w:marLeft w:val="0"/>
      <w:marRight w:val="0"/>
      <w:marTop w:val="0"/>
      <w:marBottom w:val="0"/>
      <w:divBdr>
        <w:top w:val="none" w:sz="0" w:space="0" w:color="auto"/>
        <w:left w:val="none" w:sz="0" w:space="0" w:color="auto"/>
        <w:bottom w:val="none" w:sz="0" w:space="0" w:color="auto"/>
        <w:right w:val="none" w:sz="0" w:space="0" w:color="auto"/>
      </w:divBdr>
      <w:divsChild>
        <w:div w:id="1473408298">
          <w:marLeft w:val="0"/>
          <w:marRight w:val="0"/>
          <w:marTop w:val="0"/>
          <w:marBottom w:val="150"/>
          <w:divBdr>
            <w:top w:val="none" w:sz="0" w:space="0" w:color="auto"/>
            <w:left w:val="none" w:sz="0" w:space="0" w:color="auto"/>
            <w:bottom w:val="none" w:sz="0" w:space="0" w:color="auto"/>
            <w:right w:val="none" w:sz="0" w:space="0" w:color="auto"/>
          </w:divBdr>
        </w:div>
        <w:div w:id="83573898">
          <w:marLeft w:val="0"/>
          <w:marRight w:val="0"/>
          <w:marTop w:val="150"/>
          <w:marBottom w:val="0"/>
          <w:divBdr>
            <w:top w:val="none" w:sz="0" w:space="0" w:color="auto"/>
            <w:left w:val="none" w:sz="0" w:space="0" w:color="auto"/>
            <w:bottom w:val="none" w:sz="0" w:space="0" w:color="auto"/>
            <w:right w:val="none" w:sz="0" w:space="0" w:color="auto"/>
          </w:divBdr>
        </w:div>
      </w:divsChild>
    </w:div>
    <w:div w:id="293603016">
      <w:bodyDiv w:val="1"/>
      <w:marLeft w:val="0"/>
      <w:marRight w:val="0"/>
      <w:marTop w:val="0"/>
      <w:marBottom w:val="0"/>
      <w:divBdr>
        <w:top w:val="none" w:sz="0" w:space="0" w:color="auto"/>
        <w:left w:val="none" w:sz="0" w:space="0" w:color="auto"/>
        <w:bottom w:val="none" w:sz="0" w:space="0" w:color="auto"/>
        <w:right w:val="none" w:sz="0" w:space="0" w:color="auto"/>
      </w:divBdr>
      <w:divsChild>
        <w:div w:id="1195315497">
          <w:marLeft w:val="0"/>
          <w:marRight w:val="0"/>
          <w:marTop w:val="0"/>
          <w:marBottom w:val="150"/>
          <w:divBdr>
            <w:top w:val="none" w:sz="0" w:space="0" w:color="auto"/>
            <w:left w:val="none" w:sz="0" w:space="0" w:color="auto"/>
            <w:bottom w:val="none" w:sz="0" w:space="0" w:color="auto"/>
            <w:right w:val="none" w:sz="0" w:space="0" w:color="auto"/>
          </w:divBdr>
        </w:div>
        <w:div w:id="1541892924">
          <w:marLeft w:val="0"/>
          <w:marRight w:val="0"/>
          <w:marTop w:val="150"/>
          <w:marBottom w:val="0"/>
          <w:divBdr>
            <w:top w:val="none" w:sz="0" w:space="0" w:color="auto"/>
            <w:left w:val="none" w:sz="0" w:space="0" w:color="auto"/>
            <w:bottom w:val="none" w:sz="0" w:space="0" w:color="auto"/>
            <w:right w:val="none" w:sz="0" w:space="0" w:color="auto"/>
          </w:divBdr>
        </w:div>
      </w:divsChild>
    </w:div>
    <w:div w:id="689722195">
      <w:bodyDiv w:val="1"/>
      <w:marLeft w:val="0"/>
      <w:marRight w:val="0"/>
      <w:marTop w:val="0"/>
      <w:marBottom w:val="0"/>
      <w:divBdr>
        <w:top w:val="none" w:sz="0" w:space="0" w:color="auto"/>
        <w:left w:val="none" w:sz="0" w:space="0" w:color="auto"/>
        <w:bottom w:val="none" w:sz="0" w:space="0" w:color="auto"/>
        <w:right w:val="none" w:sz="0" w:space="0" w:color="auto"/>
      </w:divBdr>
      <w:divsChild>
        <w:div w:id="1365331519">
          <w:marLeft w:val="0"/>
          <w:marRight w:val="0"/>
          <w:marTop w:val="525"/>
          <w:marBottom w:val="525"/>
          <w:divBdr>
            <w:top w:val="none" w:sz="0" w:space="0" w:color="auto"/>
            <w:left w:val="none" w:sz="0" w:space="0" w:color="auto"/>
            <w:bottom w:val="none" w:sz="0" w:space="0" w:color="auto"/>
            <w:right w:val="none" w:sz="0" w:space="0" w:color="auto"/>
          </w:divBdr>
          <w:divsChild>
            <w:div w:id="483104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10478255">
      <w:bodyDiv w:val="1"/>
      <w:marLeft w:val="0"/>
      <w:marRight w:val="0"/>
      <w:marTop w:val="0"/>
      <w:marBottom w:val="0"/>
      <w:divBdr>
        <w:top w:val="none" w:sz="0" w:space="0" w:color="auto"/>
        <w:left w:val="none" w:sz="0" w:space="0" w:color="auto"/>
        <w:bottom w:val="none" w:sz="0" w:space="0" w:color="auto"/>
        <w:right w:val="none" w:sz="0" w:space="0" w:color="auto"/>
      </w:divBdr>
      <w:divsChild>
        <w:div w:id="1966111648">
          <w:marLeft w:val="0"/>
          <w:marRight w:val="0"/>
          <w:marTop w:val="0"/>
          <w:marBottom w:val="150"/>
          <w:divBdr>
            <w:top w:val="none" w:sz="0" w:space="0" w:color="auto"/>
            <w:left w:val="none" w:sz="0" w:space="0" w:color="auto"/>
            <w:bottom w:val="none" w:sz="0" w:space="0" w:color="auto"/>
            <w:right w:val="none" w:sz="0" w:space="0" w:color="auto"/>
          </w:divBdr>
        </w:div>
        <w:div w:id="1664971769">
          <w:marLeft w:val="0"/>
          <w:marRight w:val="0"/>
          <w:marTop w:val="150"/>
          <w:marBottom w:val="0"/>
          <w:divBdr>
            <w:top w:val="none" w:sz="0" w:space="0" w:color="auto"/>
            <w:left w:val="none" w:sz="0" w:space="0" w:color="auto"/>
            <w:bottom w:val="none" w:sz="0" w:space="0" w:color="auto"/>
            <w:right w:val="none" w:sz="0" w:space="0" w:color="auto"/>
          </w:divBdr>
        </w:div>
      </w:divsChild>
    </w:div>
    <w:div w:id="1364208044">
      <w:bodyDiv w:val="1"/>
      <w:marLeft w:val="0"/>
      <w:marRight w:val="0"/>
      <w:marTop w:val="0"/>
      <w:marBottom w:val="0"/>
      <w:divBdr>
        <w:top w:val="none" w:sz="0" w:space="0" w:color="auto"/>
        <w:left w:val="none" w:sz="0" w:space="0" w:color="auto"/>
        <w:bottom w:val="none" w:sz="0" w:space="0" w:color="auto"/>
        <w:right w:val="none" w:sz="0" w:space="0" w:color="auto"/>
      </w:divBdr>
      <w:divsChild>
        <w:div w:id="1739011952">
          <w:marLeft w:val="0"/>
          <w:marRight w:val="0"/>
          <w:marTop w:val="0"/>
          <w:marBottom w:val="150"/>
          <w:divBdr>
            <w:top w:val="none" w:sz="0" w:space="0" w:color="auto"/>
            <w:left w:val="none" w:sz="0" w:space="0" w:color="auto"/>
            <w:bottom w:val="none" w:sz="0" w:space="0" w:color="auto"/>
            <w:right w:val="none" w:sz="0" w:space="0" w:color="auto"/>
          </w:divBdr>
        </w:div>
        <w:div w:id="1484664747">
          <w:marLeft w:val="0"/>
          <w:marRight w:val="0"/>
          <w:marTop w:val="150"/>
          <w:marBottom w:val="0"/>
          <w:divBdr>
            <w:top w:val="none" w:sz="0" w:space="0" w:color="auto"/>
            <w:left w:val="none" w:sz="0" w:space="0" w:color="auto"/>
            <w:bottom w:val="none" w:sz="0" w:space="0" w:color="auto"/>
            <w:right w:val="none" w:sz="0" w:space="0" w:color="auto"/>
          </w:divBdr>
        </w:div>
      </w:divsChild>
    </w:div>
    <w:div w:id="1726296819">
      <w:bodyDiv w:val="1"/>
      <w:marLeft w:val="0"/>
      <w:marRight w:val="0"/>
      <w:marTop w:val="0"/>
      <w:marBottom w:val="0"/>
      <w:divBdr>
        <w:top w:val="none" w:sz="0" w:space="0" w:color="auto"/>
        <w:left w:val="none" w:sz="0" w:space="0" w:color="auto"/>
        <w:bottom w:val="none" w:sz="0" w:space="0" w:color="auto"/>
        <w:right w:val="none" w:sz="0" w:space="0" w:color="auto"/>
      </w:divBdr>
      <w:divsChild>
        <w:div w:id="1266235486">
          <w:marLeft w:val="0"/>
          <w:marRight w:val="0"/>
          <w:marTop w:val="0"/>
          <w:marBottom w:val="150"/>
          <w:divBdr>
            <w:top w:val="none" w:sz="0" w:space="0" w:color="auto"/>
            <w:left w:val="none" w:sz="0" w:space="0" w:color="auto"/>
            <w:bottom w:val="none" w:sz="0" w:space="0" w:color="auto"/>
            <w:right w:val="none" w:sz="0" w:space="0" w:color="auto"/>
          </w:divBdr>
        </w:div>
        <w:div w:id="2099792022">
          <w:marLeft w:val="0"/>
          <w:marRight w:val="0"/>
          <w:marTop w:val="0"/>
          <w:marBottom w:val="150"/>
          <w:divBdr>
            <w:top w:val="none" w:sz="0" w:space="0" w:color="auto"/>
            <w:left w:val="none" w:sz="0" w:space="0" w:color="auto"/>
            <w:bottom w:val="none" w:sz="0" w:space="0" w:color="auto"/>
            <w:right w:val="none" w:sz="0" w:space="0" w:color="auto"/>
          </w:divBdr>
        </w:div>
        <w:div w:id="1085154392">
          <w:marLeft w:val="0"/>
          <w:marRight w:val="0"/>
          <w:marTop w:val="150"/>
          <w:marBottom w:val="0"/>
          <w:divBdr>
            <w:top w:val="none" w:sz="0" w:space="0" w:color="auto"/>
            <w:left w:val="none" w:sz="0" w:space="0" w:color="auto"/>
            <w:bottom w:val="none" w:sz="0" w:space="0" w:color="auto"/>
            <w:right w:val="none" w:sz="0" w:space="0" w:color="auto"/>
          </w:divBdr>
        </w:div>
      </w:divsChild>
    </w:div>
    <w:div w:id="1772164807">
      <w:bodyDiv w:val="1"/>
      <w:marLeft w:val="0"/>
      <w:marRight w:val="0"/>
      <w:marTop w:val="0"/>
      <w:marBottom w:val="0"/>
      <w:divBdr>
        <w:top w:val="none" w:sz="0" w:space="0" w:color="auto"/>
        <w:left w:val="none" w:sz="0" w:space="0" w:color="auto"/>
        <w:bottom w:val="none" w:sz="0" w:space="0" w:color="auto"/>
        <w:right w:val="none" w:sz="0" w:space="0" w:color="auto"/>
      </w:divBdr>
      <w:divsChild>
        <w:div w:id="641235478">
          <w:marLeft w:val="0"/>
          <w:marRight w:val="0"/>
          <w:marTop w:val="0"/>
          <w:marBottom w:val="150"/>
          <w:divBdr>
            <w:top w:val="none" w:sz="0" w:space="0" w:color="auto"/>
            <w:left w:val="none" w:sz="0" w:space="0" w:color="auto"/>
            <w:bottom w:val="none" w:sz="0" w:space="0" w:color="auto"/>
            <w:right w:val="none" w:sz="0" w:space="0" w:color="auto"/>
          </w:divBdr>
        </w:div>
        <w:div w:id="1194921228">
          <w:marLeft w:val="0"/>
          <w:marRight w:val="0"/>
          <w:marTop w:val="0"/>
          <w:marBottom w:val="150"/>
          <w:divBdr>
            <w:top w:val="none" w:sz="0" w:space="0" w:color="auto"/>
            <w:left w:val="none" w:sz="0" w:space="0" w:color="auto"/>
            <w:bottom w:val="none" w:sz="0" w:space="0" w:color="auto"/>
            <w:right w:val="none" w:sz="0" w:space="0" w:color="auto"/>
          </w:divBdr>
        </w:div>
        <w:div w:id="529220989">
          <w:marLeft w:val="0"/>
          <w:marRight w:val="0"/>
          <w:marTop w:val="150"/>
          <w:marBottom w:val="0"/>
          <w:divBdr>
            <w:top w:val="none" w:sz="0" w:space="0" w:color="auto"/>
            <w:left w:val="none" w:sz="0" w:space="0" w:color="auto"/>
            <w:bottom w:val="none" w:sz="0" w:space="0" w:color="auto"/>
            <w:right w:val="none" w:sz="0" w:space="0" w:color="auto"/>
          </w:divBdr>
        </w:div>
      </w:divsChild>
    </w:div>
    <w:div w:id="1839228669">
      <w:bodyDiv w:val="1"/>
      <w:marLeft w:val="0"/>
      <w:marRight w:val="0"/>
      <w:marTop w:val="0"/>
      <w:marBottom w:val="0"/>
      <w:divBdr>
        <w:top w:val="none" w:sz="0" w:space="0" w:color="auto"/>
        <w:left w:val="none" w:sz="0" w:space="0" w:color="auto"/>
        <w:bottom w:val="none" w:sz="0" w:space="0" w:color="auto"/>
        <w:right w:val="none" w:sz="0" w:space="0" w:color="auto"/>
      </w:divBdr>
      <w:divsChild>
        <w:div w:id="601491664">
          <w:marLeft w:val="0"/>
          <w:marRight w:val="0"/>
          <w:marTop w:val="0"/>
          <w:marBottom w:val="150"/>
          <w:divBdr>
            <w:top w:val="none" w:sz="0" w:space="0" w:color="auto"/>
            <w:left w:val="none" w:sz="0" w:space="0" w:color="auto"/>
            <w:bottom w:val="none" w:sz="0" w:space="0" w:color="auto"/>
            <w:right w:val="none" w:sz="0" w:space="0" w:color="auto"/>
          </w:divBdr>
        </w:div>
        <w:div w:id="720404138">
          <w:marLeft w:val="0"/>
          <w:marRight w:val="0"/>
          <w:marTop w:val="150"/>
          <w:marBottom w:val="0"/>
          <w:divBdr>
            <w:top w:val="none" w:sz="0" w:space="0" w:color="auto"/>
            <w:left w:val="none" w:sz="0" w:space="0" w:color="auto"/>
            <w:bottom w:val="none" w:sz="0" w:space="0" w:color="auto"/>
            <w:right w:val="none" w:sz="0" w:space="0" w:color="auto"/>
          </w:divBdr>
        </w:div>
      </w:divsChild>
    </w:div>
    <w:div w:id="2082017505">
      <w:bodyDiv w:val="1"/>
      <w:marLeft w:val="0"/>
      <w:marRight w:val="0"/>
      <w:marTop w:val="0"/>
      <w:marBottom w:val="0"/>
      <w:divBdr>
        <w:top w:val="none" w:sz="0" w:space="0" w:color="auto"/>
        <w:left w:val="none" w:sz="0" w:space="0" w:color="auto"/>
        <w:bottom w:val="none" w:sz="0" w:space="0" w:color="auto"/>
        <w:right w:val="none" w:sz="0" w:space="0" w:color="auto"/>
      </w:divBdr>
      <w:divsChild>
        <w:div w:id="903102875">
          <w:marLeft w:val="0"/>
          <w:marRight w:val="0"/>
          <w:marTop w:val="525"/>
          <w:marBottom w:val="5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B682C-4DC8-4D45-9259-CE10C5484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504</Words>
  <Characters>2777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MTAvocat</dc:creator>
  <cp:keywords/>
  <dc:description/>
  <cp:lastModifiedBy>MTAvocat</cp:lastModifiedBy>
  <cp:revision>3</cp:revision>
  <dcterms:created xsi:type="dcterms:W3CDTF">2020-03-26T06:03:00Z</dcterms:created>
  <dcterms:modified xsi:type="dcterms:W3CDTF">2020-03-26T06:34:00Z</dcterms:modified>
</cp:coreProperties>
</file>