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28F9" w14:textId="63EAE10A" w:rsidR="00720A80" w:rsidRDefault="00497A8E" w:rsidP="00BA358C">
      <w:pPr>
        <w:jc w:val="center"/>
        <w:rPr>
          <w:b/>
          <w:bCs/>
          <w:sz w:val="24"/>
          <w:szCs w:val="24"/>
          <w:u w:val="single"/>
        </w:rPr>
      </w:pPr>
      <w:r w:rsidRPr="00497A8E">
        <w:rPr>
          <w:b/>
          <w:bCs/>
          <w:sz w:val="24"/>
          <w:szCs w:val="24"/>
          <w:u w:val="single"/>
        </w:rPr>
        <w:t>Ordonnance n° 2020-323 du 25 mars 2020 portant mesures d'urgence en matière de congés payés, de durée du travail et de jours de repos</w:t>
      </w:r>
    </w:p>
    <w:p w14:paraId="3D202E32" w14:textId="7C421EDD" w:rsidR="00E16B36" w:rsidRDefault="00FE4AAD">
      <w:pPr>
        <w:pStyle w:val="TM1"/>
        <w:tabs>
          <w:tab w:val="left" w:pos="440"/>
          <w:tab w:val="right" w:leader="dot" w:pos="9736"/>
        </w:tabs>
        <w:rPr>
          <w:rFonts w:asciiTheme="minorHAnsi" w:hAnsiTheme="minorHAnsi" w:cstheme="minorBidi"/>
          <w:b w:val="0"/>
          <w:noProof/>
          <w:color w:val="auto"/>
          <w:sz w:val="22"/>
        </w:rPr>
      </w:pPr>
      <w:r>
        <w:fldChar w:fldCharType="begin"/>
      </w:r>
      <w:r>
        <w:instrText xml:space="preserve"> TOC \o "1-3" \h \z \u </w:instrText>
      </w:r>
      <w:r>
        <w:fldChar w:fldCharType="separate"/>
      </w:r>
      <w:hyperlink w:anchor="_Toc36105423" w:history="1">
        <w:r w:rsidR="00E16B36" w:rsidRPr="00307B60">
          <w:rPr>
            <w:rStyle w:val="Lienhypertexte"/>
            <w:noProof/>
          </w:rPr>
          <w:t>1.</w:t>
        </w:r>
        <w:r w:rsidR="00E16B36">
          <w:rPr>
            <w:rFonts w:asciiTheme="minorHAnsi" w:hAnsiTheme="minorHAnsi" w:cstheme="minorBidi"/>
            <w:b w:val="0"/>
            <w:noProof/>
            <w:color w:val="auto"/>
            <w:sz w:val="22"/>
          </w:rPr>
          <w:tab/>
        </w:r>
        <w:r w:rsidR="00E16B36" w:rsidRPr="00307B60">
          <w:rPr>
            <w:rStyle w:val="Lienhypertexte"/>
            <w:noProof/>
          </w:rPr>
          <w:t>Entrée en vigueur</w:t>
        </w:r>
        <w:r w:rsidR="00E16B36">
          <w:rPr>
            <w:noProof/>
            <w:webHidden/>
          </w:rPr>
          <w:tab/>
        </w:r>
        <w:r w:rsidR="00E16B36">
          <w:rPr>
            <w:noProof/>
            <w:webHidden/>
          </w:rPr>
          <w:fldChar w:fldCharType="begin"/>
        </w:r>
        <w:r w:rsidR="00E16B36">
          <w:rPr>
            <w:noProof/>
            <w:webHidden/>
          </w:rPr>
          <w:instrText xml:space="preserve"> PAGEREF _Toc36105423 \h </w:instrText>
        </w:r>
        <w:r w:rsidR="00E16B36">
          <w:rPr>
            <w:noProof/>
            <w:webHidden/>
          </w:rPr>
        </w:r>
        <w:r w:rsidR="00E16B36">
          <w:rPr>
            <w:noProof/>
            <w:webHidden/>
          </w:rPr>
          <w:fldChar w:fldCharType="separate"/>
        </w:r>
        <w:r w:rsidR="00E16B36">
          <w:rPr>
            <w:noProof/>
            <w:webHidden/>
          </w:rPr>
          <w:t>1</w:t>
        </w:r>
        <w:r w:rsidR="00E16B36">
          <w:rPr>
            <w:noProof/>
            <w:webHidden/>
          </w:rPr>
          <w:fldChar w:fldCharType="end"/>
        </w:r>
      </w:hyperlink>
    </w:p>
    <w:p w14:paraId="16990C5C" w14:textId="66A2C90B" w:rsidR="00E16B36" w:rsidRDefault="00E16B36">
      <w:pPr>
        <w:pStyle w:val="TM1"/>
        <w:tabs>
          <w:tab w:val="left" w:pos="440"/>
          <w:tab w:val="right" w:leader="dot" w:pos="9736"/>
        </w:tabs>
        <w:rPr>
          <w:rFonts w:asciiTheme="minorHAnsi" w:hAnsiTheme="minorHAnsi" w:cstheme="minorBidi"/>
          <w:b w:val="0"/>
          <w:noProof/>
          <w:color w:val="auto"/>
          <w:sz w:val="22"/>
        </w:rPr>
      </w:pPr>
      <w:hyperlink w:anchor="_Toc36105424" w:history="1">
        <w:r w:rsidRPr="00307B60">
          <w:rPr>
            <w:rStyle w:val="Lienhypertexte"/>
            <w:noProof/>
          </w:rPr>
          <w:t>2.</w:t>
        </w:r>
        <w:r>
          <w:rPr>
            <w:rFonts w:asciiTheme="minorHAnsi" w:hAnsiTheme="minorHAnsi" w:cstheme="minorBidi"/>
            <w:b w:val="0"/>
            <w:noProof/>
            <w:color w:val="auto"/>
            <w:sz w:val="22"/>
          </w:rPr>
          <w:tab/>
        </w:r>
        <w:r w:rsidRPr="00307B60">
          <w:rPr>
            <w:rStyle w:val="Lienhypertexte"/>
            <w:noProof/>
          </w:rPr>
          <w:t>Modifier les congés payés</w:t>
        </w:r>
        <w:r>
          <w:rPr>
            <w:noProof/>
            <w:webHidden/>
          </w:rPr>
          <w:tab/>
        </w:r>
        <w:r>
          <w:rPr>
            <w:noProof/>
            <w:webHidden/>
          </w:rPr>
          <w:fldChar w:fldCharType="begin"/>
        </w:r>
        <w:r>
          <w:rPr>
            <w:noProof/>
            <w:webHidden/>
          </w:rPr>
          <w:instrText xml:space="preserve"> PAGEREF _Toc36105424 \h </w:instrText>
        </w:r>
        <w:r>
          <w:rPr>
            <w:noProof/>
            <w:webHidden/>
          </w:rPr>
        </w:r>
        <w:r>
          <w:rPr>
            <w:noProof/>
            <w:webHidden/>
          </w:rPr>
          <w:fldChar w:fldCharType="separate"/>
        </w:r>
        <w:r>
          <w:rPr>
            <w:noProof/>
            <w:webHidden/>
          </w:rPr>
          <w:t>1</w:t>
        </w:r>
        <w:r>
          <w:rPr>
            <w:noProof/>
            <w:webHidden/>
          </w:rPr>
          <w:fldChar w:fldCharType="end"/>
        </w:r>
      </w:hyperlink>
    </w:p>
    <w:p w14:paraId="087BD0E2" w14:textId="79B7117C" w:rsidR="00E16B36" w:rsidRDefault="00E16B36">
      <w:pPr>
        <w:pStyle w:val="TM1"/>
        <w:tabs>
          <w:tab w:val="left" w:pos="800"/>
          <w:tab w:val="right" w:leader="dot" w:pos="9736"/>
        </w:tabs>
        <w:rPr>
          <w:rFonts w:asciiTheme="minorHAnsi" w:hAnsiTheme="minorHAnsi" w:cstheme="minorBidi"/>
          <w:b w:val="0"/>
          <w:noProof/>
          <w:color w:val="auto"/>
          <w:sz w:val="22"/>
        </w:rPr>
      </w:pPr>
      <w:hyperlink w:anchor="_Toc36105425" w:history="1">
        <w:r w:rsidRPr="00307B60">
          <w:rPr>
            <w:rStyle w:val="Lienhypertexte"/>
            <w:noProof/>
          </w:rPr>
          <w:t>2.1.</w:t>
        </w:r>
        <w:r>
          <w:rPr>
            <w:rFonts w:asciiTheme="minorHAnsi" w:hAnsiTheme="minorHAnsi" w:cstheme="minorBidi"/>
            <w:b w:val="0"/>
            <w:noProof/>
            <w:color w:val="auto"/>
            <w:sz w:val="22"/>
          </w:rPr>
          <w:tab/>
        </w:r>
        <w:r w:rsidRPr="00307B60">
          <w:rPr>
            <w:rStyle w:val="Lienhypertexte"/>
            <w:noProof/>
          </w:rPr>
          <w:t>Les congés non encore posés</w:t>
        </w:r>
        <w:r>
          <w:rPr>
            <w:noProof/>
            <w:webHidden/>
          </w:rPr>
          <w:tab/>
        </w:r>
        <w:r>
          <w:rPr>
            <w:noProof/>
            <w:webHidden/>
          </w:rPr>
          <w:fldChar w:fldCharType="begin"/>
        </w:r>
        <w:r>
          <w:rPr>
            <w:noProof/>
            <w:webHidden/>
          </w:rPr>
          <w:instrText xml:space="preserve"> PAGEREF _Toc36105425 \h </w:instrText>
        </w:r>
        <w:r>
          <w:rPr>
            <w:noProof/>
            <w:webHidden/>
          </w:rPr>
        </w:r>
        <w:r>
          <w:rPr>
            <w:noProof/>
            <w:webHidden/>
          </w:rPr>
          <w:fldChar w:fldCharType="separate"/>
        </w:r>
        <w:r>
          <w:rPr>
            <w:noProof/>
            <w:webHidden/>
          </w:rPr>
          <w:t>2</w:t>
        </w:r>
        <w:r>
          <w:rPr>
            <w:noProof/>
            <w:webHidden/>
          </w:rPr>
          <w:fldChar w:fldCharType="end"/>
        </w:r>
      </w:hyperlink>
    </w:p>
    <w:p w14:paraId="11092F11" w14:textId="41F9E399" w:rsidR="00E16B36" w:rsidRDefault="00E16B36">
      <w:pPr>
        <w:pStyle w:val="TM1"/>
        <w:tabs>
          <w:tab w:val="left" w:pos="1100"/>
          <w:tab w:val="right" w:leader="dot" w:pos="9736"/>
        </w:tabs>
        <w:rPr>
          <w:rFonts w:asciiTheme="minorHAnsi" w:hAnsiTheme="minorHAnsi" w:cstheme="minorBidi"/>
          <w:b w:val="0"/>
          <w:noProof/>
          <w:color w:val="auto"/>
          <w:sz w:val="22"/>
        </w:rPr>
      </w:pPr>
      <w:hyperlink w:anchor="_Toc36105426" w:history="1">
        <w:r w:rsidRPr="00307B60">
          <w:rPr>
            <w:rStyle w:val="Lienhypertexte"/>
            <w:noProof/>
          </w:rPr>
          <w:t>2.1.1.</w:t>
        </w:r>
        <w:r>
          <w:rPr>
            <w:rFonts w:asciiTheme="minorHAnsi" w:hAnsiTheme="minorHAnsi" w:cstheme="minorBidi"/>
            <w:b w:val="0"/>
            <w:noProof/>
            <w:color w:val="auto"/>
            <w:sz w:val="22"/>
          </w:rPr>
          <w:tab/>
        </w:r>
        <w:r w:rsidRPr="00307B60">
          <w:rPr>
            <w:rStyle w:val="Lienhypertexte"/>
            <w:noProof/>
          </w:rPr>
          <w:t>Les congés concernés</w:t>
        </w:r>
        <w:r>
          <w:rPr>
            <w:noProof/>
            <w:webHidden/>
          </w:rPr>
          <w:tab/>
        </w:r>
        <w:r>
          <w:rPr>
            <w:noProof/>
            <w:webHidden/>
          </w:rPr>
          <w:fldChar w:fldCharType="begin"/>
        </w:r>
        <w:r>
          <w:rPr>
            <w:noProof/>
            <w:webHidden/>
          </w:rPr>
          <w:instrText xml:space="preserve"> PAGEREF _Toc36105426 \h </w:instrText>
        </w:r>
        <w:r>
          <w:rPr>
            <w:noProof/>
            <w:webHidden/>
          </w:rPr>
        </w:r>
        <w:r>
          <w:rPr>
            <w:noProof/>
            <w:webHidden/>
          </w:rPr>
          <w:fldChar w:fldCharType="separate"/>
        </w:r>
        <w:r>
          <w:rPr>
            <w:noProof/>
            <w:webHidden/>
          </w:rPr>
          <w:t>2</w:t>
        </w:r>
        <w:r>
          <w:rPr>
            <w:noProof/>
            <w:webHidden/>
          </w:rPr>
          <w:fldChar w:fldCharType="end"/>
        </w:r>
      </w:hyperlink>
    </w:p>
    <w:p w14:paraId="285F6529" w14:textId="0D8B2F2C" w:rsidR="00E16B36" w:rsidRDefault="00E16B36">
      <w:pPr>
        <w:pStyle w:val="TM1"/>
        <w:tabs>
          <w:tab w:val="left" w:pos="1100"/>
          <w:tab w:val="right" w:leader="dot" w:pos="9736"/>
        </w:tabs>
        <w:rPr>
          <w:rFonts w:asciiTheme="minorHAnsi" w:hAnsiTheme="minorHAnsi" w:cstheme="minorBidi"/>
          <w:b w:val="0"/>
          <w:noProof/>
          <w:color w:val="auto"/>
          <w:sz w:val="22"/>
        </w:rPr>
      </w:pPr>
      <w:hyperlink w:anchor="_Toc36105427" w:history="1">
        <w:r w:rsidRPr="00307B60">
          <w:rPr>
            <w:rStyle w:val="Lienhypertexte"/>
            <w:noProof/>
          </w:rPr>
          <w:t>2.1.2.</w:t>
        </w:r>
        <w:r>
          <w:rPr>
            <w:rFonts w:asciiTheme="minorHAnsi" w:hAnsiTheme="minorHAnsi" w:cstheme="minorBidi"/>
            <w:b w:val="0"/>
            <w:noProof/>
            <w:color w:val="auto"/>
            <w:sz w:val="22"/>
          </w:rPr>
          <w:tab/>
        </w:r>
        <w:r w:rsidRPr="00307B60">
          <w:rPr>
            <w:rStyle w:val="Lienhypertexte"/>
            <w:noProof/>
          </w:rPr>
          <w:t>Imposer les congés</w:t>
        </w:r>
        <w:r>
          <w:rPr>
            <w:noProof/>
            <w:webHidden/>
          </w:rPr>
          <w:tab/>
        </w:r>
        <w:r>
          <w:rPr>
            <w:noProof/>
            <w:webHidden/>
          </w:rPr>
          <w:fldChar w:fldCharType="begin"/>
        </w:r>
        <w:r>
          <w:rPr>
            <w:noProof/>
            <w:webHidden/>
          </w:rPr>
          <w:instrText xml:space="preserve"> PAGEREF _Toc36105427 \h </w:instrText>
        </w:r>
        <w:r>
          <w:rPr>
            <w:noProof/>
            <w:webHidden/>
          </w:rPr>
        </w:r>
        <w:r>
          <w:rPr>
            <w:noProof/>
            <w:webHidden/>
          </w:rPr>
          <w:fldChar w:fldCharType="separate"/>
        </w:r>
        <w:r>
          <w:rPr>
            <w:noProof/>
            <w:webHidden/>
          </w:rPr>
          <w:t>2</w:t>
        </w:r>
        <w:r>
          <w:rPr>
            <w:noProof/>
            <w:webHidden/>
          </w:rPr>
          <w:fldChar w:fldCharType="end"/>
        </w:r>
      </w:hyperlink>
    </w:p>
    <w:p w14:paraId="6EB8A265" w14:textId="0875AAB5" w:rsidR="00E16B36" w:rsidRDefault="00E16B36">
      <w:pPr>
        <w:pStyle w:val="TM1"/>
        <w:tabs>
          <w:tab w:val="left" w:pos="800"/>
          <w:tab w:val="right" w:leader="dot" w:pos="9736"/>
        </w:tabs>
        <w:rPr>
          <w:rFonts w:asciiTheme="minorHAnsi" w:hAnsiTheme="minorHAnsi" w:cstheme="minorBidi"/>
          <w:b w:val="0"/>
          <w:noProof/>
          <w:color w:val="auto"/>
          <w:sz w:val="22"/>
        </w:rPr>
      </w:pPr>
      <w:hyperlink w:anchor="_Toc36105428" w:history="1">
        <w:r w:rsidRPr="00307B60">
          <w:rPr>
            <w:rStyle w:val="Lienhypertexte"/>
            <w:noProof/>
          </w:rPr>
          <w:t>2.2.</w:t>
        </w:r>
        <w:r>
          <w:rPr>
            <w:rFonts w:asciiTheme="minorHAnsi" w:hAnsiTheme="minorHAnsi" w:cstheme="minorBidi"/>
            <w:b w:val="0"/>
            <w:noProof/>
            <w:color w:val="auto"/>
            <w:sz w:val="22"/>
          </w:rPr>
          <w:tab/>
        </w:r>
        <w:r w:rsidRPr="00307B60">
          <w:rPr>
            <w:rStyle w:val="Lienhypertexte"/>
            <w:noProof/>
          </w:rPr>
          <w:t>Les congés déjà posés</w:t>
        </w:r>
        <w:r>
          <w:rPr>
            <w:noProof/>
            <w:webHidden/>
          </w:rPr>
          <w:tab/>
        </w:r>
        <w:r>
          <w:rPr>
            <w:noProof/>
            <w:webHidden/>
          </w:rPr>
          <w:fldChar w:fldCharType="begin"/>
        </w:r>
        <w:r>
          <w:rPr>
            <w:noProof/>
            <w:webHidden/>
          </w:rPr>
          <w:instrText xml:space="preserve"> PAGEREF _Toc36105428 \h </w:instrText>
        </w:r>
        <w:r>
          <w:rPr>
            <w:noProof/>
            <w:webHidden/>
          </w:rPr>
        </w:r>
        <w:r>
          <w:rPr>
            <w:noProof/>
            <w:webHidden/>
          </w:rPr>
          <w:fldChar w:fldCharType="separate"/>
        </w:r>
        <w:r>
          <w:rPr>
            <w:noProof/>
            <w:webHidden/>
          </w:rPr>
          <w:t>2</w:t>
        </w:r>
        <w:r>
          <w:rPr>
            <w:noProof/>
            <w:webHidden/>
          </w:rPr>
          <w:fldChar w:fldCharType="end"/>
        </w:r>
      </w:hyperlink>
    </w:p>
    <w:p w14:paraId="3C3AE7FD" w14:textId="512183E2" w:rsidR="00E16B36" w:rsidRDefault="00E16B36">
      <w:pPr>
        <w:pStyle w:val="TM1"/>
        <w:tabs>
          <w:tab w:val="left" w:pos="440"/>
          <w:tab w:val="right" w:leader="dot" w:pos="9736"/>
        </w:tabs>
        <w:rPr>
          <w:rFonts w:asciiTheme="minorHAnsi" w:hAnsiTheme="minorHAnsi" w:cstheme="minorBidi"/>
          <w:b w:val="0"/>
          <w:noProof/>
          <w:color w:val="auto"/>
          <w:sz w:val="22"/>
        </w:rPr>
      </w:pPr>
      <w:hyperlink w:anchor="_Toc36105429" w:history="1">
        <w:r w:rsidRPr="00307B60">
          <w:rPr>
            <w:rStyle w:val="Lienhypertexte"/>
            <w:noProof/>
          </w:rPr>
          <w:t>3.</w:t>
        </w:r>
        <w:r>
          <w:rPr>
            <w:rFonts w:asciiTheme="minorHAnsi" w:hAnsiTheme="minorHAnsi" w:cstheme="minorBidi"/>
            <w:b w:val="0"/>
            <w:noProof/>
            <w:color w:val="auto"/>
            <w:sz w:val="22"/>
          </w:rPr>
          <w:tab/>
        </w:r>
        <w:r w:rsidRPr="00307B60">
          <w:rPr>
            <w:rStyle w:val="Lienhypertexte"/>
            <w:noProof/>
          </w:rPr>
          <w:t>Modifier les RTT et jours de repos</w:t>
        </w:r>
        <w:r>
          <w:rPr>
            <w:noProof/>
            <w:webHidden/>
          </w:rPr>
          <w:tab/>
        </w:r>
        <w:r>
          <w:rPr>
            <w:noProof/>
            <w:webHidden/>
          </w:rPr>
          <w:fldChar w:fldCharType="begin"/>
        </w:r>
        <w:r>
          <w:rPr>
            <w:noProof/>
            <w:webHidden/>
          </w:rPr>
          <w:instrText xml:space="preserve"> PAGEREF _Toc36105429 \h </w:instrText>
        </w:r>
        <w:r>
          <w:rPr>
            <w:noProof/>
            <w:webHidden/>
          </w:rPr>
        </w:r>
        <w:r>
          <w:rPr>
            <w:noProof/>
            <w:webHidden/>
          </w:rPr>
          <w:fldChar w:fldCharType="separate"/>
        </w:r>
        <w:r>
          <w:rPr>
            <w:noProof/>
            <w:webHidden/>
          </w:rPr>
          <w:t>2</w:t>
        </w:r>
        <w:r>
          <w:rPr>
            <w:noProof/>
            <w:webHidden/>
          </w:rPr>
          <w:fldChar w:fldCharType="end"/>
        </w:r>
      </w:hyperlink>
    </w:p>
    <w:p w14:paraId="3AE2B2F2" w14:textId="6824AC7B" w:rsidR="00E16B36" w:rsidRDefault="00E16B36">
      <w:pPr>
        <w:pStyle w:val="TM1"/>
        <w:tabs>
          <w:tab w:val="left" w:pos="440"/>
          <w:tab w:val="right" w:leader="dot" w:pos="9736"/>
        </w:tabs>
        <w:rPr>
          <w:rFonts w:asciiTheme="minorHAnsi" w:hAnsiTheme="minorHAnsi" w:cstheme="minorBidi"/>
          <w:b w:val="0"/>
          <w:noProof/>
          <w:color w:val="auto"/>
          <w:sz w:val="22"/>
        </w:rPr>
      </w:pPr>
      <w:hyperlink w:anchor="_Toc36105430" w:history="1">
        <w:r w:rsidRPr="00307B60">
          <w:rPr>
            <w:rStyle w:val="Lienhypertexte"/>
            <w:noProof/>
          </w:rPr>
          <w:t>4.</w:t>
        </w:r>
        <w:r>
          <w:rPr>
            <w:rFonts w:asciiTheme="minorHAnsi" w:hAnsiTheme="minorHAnsi" w:cstheme="minorBidi"/>
            <w:b w:val="0"/>
            <w:noProof/>
            <w:color w:val="auto"/>
            <w:sz w:val="22"/>
          </w:rPr>
          <w:tab/>
        </w:r>
        <w:r w:rsidRPr="00307B60">
          <w:rPr>
            <w:rStyle w:val="Lienhypertexte"/>
            <w:noProof/>
          </w:rPr>
          <w:t>Modifier les jours de repos des forfaits</w:t>
        </w:r>
        <w:r>
          <w:rPr>
            <w:noProof/>
            <w:webHidden/>
          </w:rPr>
          <w:tab/>
        </w:r>
        <w:r>
          <w:rPr>
            <w:noProof/>
            <w:webHidden/>
          </w:rPr>
          <w:fldChar w:fldCharType="begin"/>
        </w:r>
        <w:r>
          <w:rPr>
            <w:noProof/>
            <w:webHidden/>
          </w:rPr>
          <w:instrText xml:space="preserve"> PAGEREF _Toc36105430 \h </w:instrText>
        </w:r>
        <w:r>
          <w:rPr>
            <w:noProof/>
            <w:webHidden/>
          </w:rPr>
        </w:r>
        <w:r>
          <w:rPr>
            <w:noProof/>
            <w:webHidden/>
          </w:rPr>
          <w:fldChar w:fldCharType="separate"/>
        </w:r>
        <w:r>
          <w:rPr>
            <w:noProof/>
            <w:webHidden/>
          </w:rPr>
          <w:t>3</w:t>
        </w:r>
        <w:r>
          <w:rPr>
            <w:noProof/>
            <w:webHidden/>
          </w:rPr>
          <w:fldChar w:fldCharType="end"/>
        </w:r>
      </w:hyperlink>
    </w:p>
    <w:p w14:paraId="25F7C62E" w14:textId="10487F74" w:rsidR="00E16B36" w:rsidRDefault="00E16B36">
      <w:pPr>
        <w:pStyle w:val="TM1"/>
        <w:tabs>
          <w:tab w:val="left" w:pos="440"/>
          <w:tab w:val="right" w:leader="dot" w:pos="9736"/>
        </w:tabs>
        <w:rPr>
          <w:rFonts w:asciiTheme="minorHAnsi" w:hAnsiTheme="minorHAnsi" w:cstheme="minorBidi"/>
          <w:b w:val="0"/>
          <w:noProof/>
          <w:color w:val="auto"/>
          <w:sz w:val="22"/>
        </w:rPr>
      </w:pPr>
      <w:hyperlink w:anchor="_Toc36105431" w:history="1">
        <w:r w:rsidRPr="00307B60">
          <w:rPr>
            <w:rStyle w:val="Lienhypertexte"/>
            <w:noProof/>
          </w:rPr>
          <w:t>5.</w:t>
        </w:r>
        <w:r>
          <w:rPr>
            <w:rFonts w:asciiTheme="minorHAnsi" w:hAnsiTheme="minorHAnsi" w:cstheme="minorBidi"/>
            <w:b w:val="0"/>
            <w:noProof/>
            <w:color w:val="auto"/>
            <w:sz w:val="22"/>
          </w:rPr>
          <w:tab/>
        </w:r>
        <w:r w:rsidRPr="00307B60">
          <w:rPr>
            <w:rStyle w:val="Lienhypertexte"/>
            <w:noProof/>
          </w:rPr>
          <w:t>Les jours épargnés sur un compte épargne temps</w:t>
        </w:r>
        <w:r>
          <w:rPr>
            <w:noProof/>
            <w:webHidden/>
          </w:rPr>
          <w:tab/>
        </w:r>
        <w:r>
          <w:rPr>
            <w:noProof/>
            <w:webHidden/>
          </w:rPr>
          <w:fldChar w:fldCharType="begin"/>
        </w:r>
        <w:r>
          <w:rPr>
            <w:noProof/>
            <w:webHidden/>
          </w:rPr>
          <w:instrText xml:space="preserve"> PAGEREF _Toc36105431 \h </w:instrText>
        </w:r>
        <w:r>
          <w:rPr>
            <w:noProof/>
            <w:webHidden/>
          </w:rPr>
        </w:r>
        <w:r>
          <w:rPr>
            <w:noProof/>
            <w:webHidden/>
          </w:rPr>
          <w:fldChar w:fldCharType="separate"/>
        </w:r>
        <w:r>
          <w:rPr>
            <w:noProof/>
            <w:webHidden/>
          </w:rPr>
          <w:t>3</w:t>
        </w:r>
        <w:r>
          <w:rPr>
            <w:noProof/>
            <w:webHidden/>
          </w:rPr>
          <w:fldChar w:fldCharType="end"/>
        </w:r>
      </w:hyperlink>
    </w:p>
    <w:p w14:paraId="2D7AAB81" w14:textId="63EB6338" w:rsidR="00E16B36" w:rsidRDefault="00E16B36">
      <w:pPr>
        <w:pStyle w:val="TM1"/>
        <w:tabs>
          <w:tab w:val="left" w:pos="440"/>
          <w:tab w:val="right" w:leader="dot" w:pos="9736"/>
        </w:tabs>
        <w:rPr>
          <w:rFonts w:asciiTheme="minorHAnsi" w:hAnsiTheme="minorHAnsi" w:cstheme="minorBidi"/>
          <w:b w:val="0"/>
          <w:noProof/>
          <w:color w:val="auto"/>
          <w:sz w:val="22"/>
        </w:rPr>
      </w:pPr>
      <w:hyperlink w:anchor="_Toc36105432" w:history="1">
        <w:r w:rsidRPr="00307B60">
          <w:rPr>
            <w:rStyle w:val="Lienhypertexte"/>
            <w:noProof/>
          </w:rPr>
          <w:t>6.</w:t>
        </w:r>
        <w:r>
          <w:rPr>
            <w:rFonts w:asciiTheme="minorHAnsi" w:hAnsiTheme="minorHAnsi" w:cstheme="minorBidi"/>
            <w:b w:val="0"/>
            <w:noProof/>
            <w:color w:val="auto"/>
            <w:sz w:val="22"/>
          </w:rPr>
          <w:tab/>
        </w:r>
        <w:r w:rsidRPr="00307B60">
          <w:rPr>
            <w:rStyle w:val="Lienhypertexte"/>
            <w:noProof/>
          </w:rPr>
          <w:t>La durée du travail</w:t>
        </w:r>
        <w:r>
          <w:rPr>
            <w:noProof/>
            <w:webHidden/>
          </w:rPr>
          <w:tab/>
        </w:r>
        <w:r>
          <w:rPr>
            <w:noProof/>
            <w:webHidden/>
          </w:rPr>
          <w:fldChar w:fldCharType="begin"/>
        </w:r>
        <w:r>
          <w:rPr>
            <w:noProof/>
            <w:webHidden/>
          </w:rPr>
          <w:instrText xml:space="preserve"> PAGEREF _Toc36105432 \h </w:instrText>
        </w:r>
        <w:r>
          <w:rPr>
            <w:noProof/>
            <w:webHidden/>
          </w:rPr>
        </w:r>
        <w:r>
          <w:rPr>
            <w:noProof/>
            <w:webHidden/>
          </w:rPr>
          <w:fldChar w:fldCharType="separate"/>
        </w:r>
        <w:r>
          <w:rPr>
            <w:noProof/>
            <w:webHidden/>
          </w:rPr>
          <w:t>4</w:t>
        </w:r>
        <w:r>
          <w:rPr>
            <w:noProof/>
            <w:webHidden/>
          </w:rPr>
          <w:fldChar w:fldCharType="end"/>
        </w:r>
      </w:hyperlink>
    </w:p>
    <w:p w14:paraId="561230B4" w14:textId="5F37DCE3" w:rsidR="00E16B36" w:rsidRDefault="00E16B36">
      <w:pPr>
        <w:pStyle w:val="TM1"/>
        <w:tabs>
          <w:tab w:val="left" w:pos="800"/>
          <w:tab w:val="right" w:leader="dot" w:pos="9736"/>
        </w:tabs>
        <w:rPr>
          <w:rFonts w:asciiTheme="minorHAnsi" w:hAnsiTheme="minorHAnsi" w:cstheme="minorBidi"/>
          <w:b w:val="0"/>
          <w:noProof/>
          <w:color w:val="auto"/>
          <w:sz w:val="22"/>
        </w:rPr>
      </w:pPr>
      <w:hyperlink w:anchor="_Toc36105433" w:history="1">
        <w:r w:rsidRPr="00307B60">
          <w:rPr>
            <w:rStyle w:val="Lienhypertexte"/>
            <w:noProof/>
          </w:rPr>
          <w:t>6.1.</w:t>
        </w:r>
        <w:r>
          <w:rPr>
            <w:rFonts w:asciiTheme="minorHAnsi" w:hAnsiTheme="minorHAnsi" w:cstheme="minorBidi"/>
            <w:b w:val="0"/>
            <w:noProof/>
            <w:color w:val="auto"/>
            <w:sz w:val="22"/>
          </w:rPr>
          <w:tab/>
        </w:r>
        <w:r w:rsidRPr="00307B60">
          <w:rPr>
            <w:rStyle w:val="Lienhypertexte"/>
            <w:noProof/>
          </w:rPr>
          <w:t>Les secteurs d’activité concernés</w:t>
        </w:r>
        <w:r>
          <w:rPr>
            <w:noProof/>
            <w:webHidden/>
          </w:rPr>
          <w:tab/>
        </w:r>
        <w:r>
          <w:rPr>
            <w:noProof/>
            <w:webHidden/>
          </w:rPr>
          <w:fldChar w:fldCharType="begin"/>
        </w:r>
        <w:r>
          <w:rPr>
            <w:noProof/>
            <w:webHidden/>
          </w:rPr>
          <w:instrText xml:space="preserve"> PAGEREF _Toc36105433 \h </w:instrText>
        </w:r>
        <w:r>
          <w:rPr>
            <w:noProof/>
            <w:webHidden/>
          </w:rPr>
        </w:r>
        <w:r>
          <w:rPr>
            <w:noProof/>
            <w:webHidden/>
          </w:rPr>
          <w:fldChar w:fldCharType="separate"/>
        </w:r>
        <w:r>
          <w:rPr>
            <w:noProof/>
            <w:webHidden/>
          </w:rPr>
          <w:t>4</w:t>
        </w:r>
        <w:r>
          <w:rPr>
            <w:noProof/>
            <w:webHidden/>
          </w:rPr>
          <w:fldChar w:fldCharType="end"/>
        </w:r>
      </w:hyperlink>
    </w:p>
    <w:p w14:paraId="12E3561D" w14:textId="41D1B7AA" w:rsidR="00E16B36" w:rsidRDefault="00E16B36">
      <w:pPr>
        <w:pStyle w:val="TM1"/>
        <w:tabs>
          <w:tab w:val="left" w:pos="800"/>
          <w:tab w:val="right" w:leader="dot" w:pos="9736"/>
        </w:tabs>
        <w:rPr>
          <w:rFonts w:asciiTheme="minorHAnsi" w:hAnsiTheme="minorHAnsi" w:cstheme="minorBidi"/>
          <w:b w:val="0"/>
          <w:noProof/>
          <w:color w:val="auto"/>
          <w:sz w:val="22"/>
        </w:rPr>
      </w:pPr>
      <w:hyperlink w:anchor="_Toc36105434" w:history="1">
        <w:r w:rsidRPr="00307B60">
          <w:rPr>
            <w:rStyle w:val="Lienhypertexte"/>
            <w:noProof/>
          </w:rPr>
          <w:t>6.2.</w:t>
        </w:r>
        <w:r>
          <w:rPr>
            <w:rFonts w:asciiTheme="minorHAnsi" w:hAnsiTheme="minorHAnsi" w:cstheme="minorBidi"/>
            <w:b w:val="0"/>
            <w:noProof/>
            <w:color w:val="auto"/>
            <w:sz w:val="22"/>
          </w:rPr>
          <w:tab/>
        </w:r>
        <w:r w:rsidRPr="00307B60">
          <w:rPr>
            <w:rStyle w:val="Lienhypertexte"/>
            <w:noProof/>
          </w:rPr>
          <w:t>Les règles modifiées</w:t>
        </w:r>
        <w:r>
          <w:rPr>
            <w:noProof/>
            <w:webHidden/>
          </w:rPr>
          <w:tab/>
        </w:r>
        <w:r>
          <w:rPr>
            <w:noProof/>
            <w:webHidden/>
          </w:rPr>
          <w:fldChar w:fldCharType="begin"/>
        </w:r>
        <w:r>
          <w:rPr>
            <w:noProof/>
            <w:webHidden/>
          </w:rPr>
          <w:instrText xml:space="preserve"> PAGEREF _Toc36105434 \h </w:instrText>
        </w:r>
        <w:r>
          <w:rPr>
            <w:noProof/>
            <w:webHidden/>
          </w:rPr>
        </w:r>
        <w:r>
          <w:rPr>
            <w:noProof/>
            <w:webHidden/>
          </w:rPr>
          <w:fldChar w:fldCharType="separate"/>
        </w:r>
        <w:r>
          <w:rPr>
            <w:noProof/>
            <w:webHidden/>
          </w:rPr>
          <w:t>4</w:t>
        </w:r>
        <w:r>
          <w:rPr>
            <w:noProof/>
            <w:webHidden/>
          </w:rPr>
          <w:fldChar w:fldCharType="end"/>
        </w:r>
      </w:hyperlink>
    </w:p>
    <w:p w14:paraId="366B5F84" w14:textId="463EFA08" w:rsidR="00E16B36" w:rsidRDefault="00E16B36">
      <w:pPr>
        <w:pStyle w:val="TM1"/>
        <w:tabs>
          <w:tab w:val="left" w:pos="800"/>
          <w:tab w:val="right" w:leader="dot" w:pos="9736"/>
        </w:tabs>
        <w:rPr>
          <w:rFonts w:asciiTheme="minorHAnsi" w:hAnsiTheme="minorHAnsi" w:cstheme="minorBidi"/>
          <w:b w:val="0"/>
          <w:noProof/>
          <w:color w:val="auto"/>
          <w:sz w:val="22"/>
        </w:rPr>
      </w:pPr>
      <w:hyperlink w:anchor="_Toc36105435" w:history="1">
        <w:r w:rsidRPr="00307B60">
          <w:rPr>
            <w:rStyle w:val="Lienhypertexte"/>
            <w:noProof/>
          </w:rPr>
          <w:t>6.3.</w:t>
        </w:r>
        <w:r>
          <w:rPr>
            <w:rFonts w:asciiTheme="minorHAnsi" w:hAnsiTheme="minorHAnsi" w:cstheme="minorBidi"/>
            <w:b w:val="0"/>
            <w:noProof/>
            <w:color w:val="auto"/>
            <w:sz w:val="22"/>
          </w:rPr>
          <w:tab/>
        </w:r>
        <w:r w:rsidRPr="00307B60">
          <w:rPr>
            <w:rStyle w:val="Lienhypertexte"/>
            <w:noProof/>
          </w:rPr>
          <w:t>L’information</w:t>
        </w:r>
        <w:r>
          <w:rPr>
            <w:noProof/>
            <w:webHidden/>
          </w:rPr>
          <w:tab/>
        </w:r>
        <w:r>
          <w:rPr>
            <w:noProof/>
            <w:webHidden/>
          </w:rPr>
          <w:fldChar w:fldCharType="begin"/>
        </w:r>
        <w:r>
          <w:rPr>
            <w:noProof/>
            <w:webHidden/>
          </w:rPr>
          <w:instrText xml:space="preserve"> PAGEREF _Toc36105435 \h </w:instrText>
        </w:r>
        <w:r>
          <w:rPr>
            <w:noProof/>
            <w:webHidden/>
          </w:rPr>
        </w:r>
        <w:r>
          <w:rPr>
            <w:noProof/>
            <w:webHidden/>
          </w:rPr>
          <w:fldChar w:fldCharType="separate"/>
        </w:r>
        <w:r>
          <w:rPr>
            <w:noProof/>
            <w:webHidden/>
          </w:rPr>
          <w:t>5</w:t>
        </w:r>
        <w:r>
          <w:rPr>
            <w:noProof/>
            <w:webHidden/>
          </w:rPr>
          <w:fldChar w:fldCharType="end"/>
        </w:r>
      </w:hyperlink>
    </w:p>
    <w:p w14:paraId="746E8AAE" w14:textId="503C21A5" w:rsidR="00FE4AAD" w:rsidRPr="00FE4AAD" w:rsidRDefault="00FE4AAD" w:rsidP="00FE4AAD">
      <w:pPr>
        <w:jc w:val="both"/>
      </w:pPr>
      <w:r>
        <w:fldChar w:fldCharType="end"/>
      </w:r>
    </w:p>
    <w:p w14:paraId="2F7C94DB" w14:textId="77777777" w:rsidR="00BA358C" w:rsidRPr="00BA358C" w:rsidRDefault="00BA358C" w:rsidP="00152732">
      <w:pPr>
        <w:pStyle w:val="Marc1"/>
      </w:pPr>
      <w:bookmarkStart w:id="0" w:name="_Toc36105423"/>
      <w:r w:rsidRPr="00BA358C">
        <w:t xml:space="preserve">Entrée </w:t>
      </w:r>
      <w:r w:rsidRPr="00152732">
        <w:t>en</w:t>
      </w:r>
      <w:r w:rsidRPr="00BA358C">
        <w:t xml:space="preserve"> vigueur</w:t>
      </w:r>
      <w:bookmarkEnd w:id="0"/>
    </w:p>
    <w:p w14:paraId="596762E2" w14:textId="0F9296D8" w:rsidR="00BA358C" w:rsidRDefault="00BA358C" w:rsidP="00BA358C">
      <w:pPr>
        <w:jc w:val="both"/>
      </w:pPr>
      <w:r>
        <w:t>Application </w:t>
      </w:r>
      <w:r w:rsidR="00720A80">
        <w:t>immédiate au 26 mars 2020.</w:t>
      </w:r>
    </w:p>
    <w:p w14:paraId="0D6D4274" w14:textId="7A19A20D" w:rsidR="00BA358C" w:rsidRPr="00BA358C" w:rsidRDefault="00581D19" w:rsidP="00152732">
      <w:pPr>
        <w:pStyle w:val="Marc1"/>
      </w:pPr>
      <w:bookmarkStart w:id="1" w:name="_Toc36105424"/>
      <w:r>
        <w:t>Modifier les congés payés</w:t>
      </w:r>
      <w:bookmarkEnd w:id="1"/>
    </w:p>
    <w:p w14:paraId="03491A14" w14:textId="77777777" w:rsidR="00581D19" w:rsidRPr="00581D19" w:rsidRDefault="00581D19" w:rsidP="00581D19">
      <w:pPr>
        <w:jc w:val="both"/>
        <w:rPr>
          <w:b/>
          <w:bCs/>
        </w:rPr>
      </w:pPr>
      <w:r w:rsidRPr="00581D19">
        <w:rPr>
          <w:b/>
          <w:bCs/>
        </w:rPr>
        <w:t>Le texte</w:t>
      </w:r>
    </w:p>
    <w:p w14:paraId="19A0ABC4" w14:textId="6FBEBC42" w:rsidR="00581D19" w:rsidRDefault="00581D19" w:rsidP="00581D19">
      <w:pPr>
        <w:jc w:val="both"/>
      </w:pPr>
      <w:r>
        <w:t>P</w:t>
      </w:r>
      <w:r>
        <w:t xml:space="preserve">ar dérogation aux </w:t>
      </w:r>
      <w:r>
        <w:t>règles habituelles (code du travail, convention collective)</w:t>
      </w:r>
      <w:r>
        <w:t>, un accord d'entreprise, ou, à défaut, un accord de branche peut déterminer les conditions dans lesquelles l'employeur est autorisé, dans la limite de six jours de congés et sous réserve de respecter un délai de prévenance qui ne peut être réduit à moins d'un jour franc, à décider de la prise de jours de congés payés acquis par un salarié, y compris avant l'ouverture de la période au cours de laquelle ils ont normalement vocation à être pris, ou à modifier unilatéralement les dates de prise de congés payés.</w:t>
      </w:r>
    </w:p>
    <w:p w14:paraId="43EA3F3E" w14:textId="77777777" w:rsidR="00581D19" w:rsidRDefault="00581D19" w:rsidP="00581D19">
      <w:pPr>
        <w:jc w:val="both"/>
      </w:pPr>
      <w:r>
        <w:t>L'accord mentionné au premier alinéa peut autoriser l'employeur à fractionner les congés sans être tenu de recueillir l'accord du salarié et à fixer les dates des congés sans être tenu d'accorder un congé simultané à des conjoints ou des partenaires liés par un pacte civil de solidarité travaillant dans son entreprise.</w:t>
      </w:r>
    </w:p>
    <w:p w14:paraId="380B5140" w14:textId="77777777" w:rsidR="00581D19" w:rsidRDefault="00581D19" w:rsidP="00581D19">
      <w:pPr>
        <w:jc w:val="both"/>
      </w:pPr>
      <w:r>
        <w:t>La période de congés imposée ou modifiée en application du présent article ne peut s'étendre au-delà du 31 décembre 2020.</w:t>
      </w:r>
    </w:p>
    <w:p w14:paraId="5CB07369" w14:textId="165AB463" w:rsidR="00581D19" w:rsidRPr="00D93FB1" w:rsidRDefault="00581D19" w:rsidP="00581D19">
      <w:pPr>
        <w:jc w:val="both"/>
        <w:rPr>
          <w:b/>
          <w:bCs/>
          <w:color w:val="247DB5"/>
        </w:rPr>
      </w:pPr>
      <w:r w:rsidRPr="00D93FB1">
        <w:rPr>
          <w:b/>
          <w:bCs/>
          <w:color w:val="247DB5"/>
        </w:rPr>
        <w:t>MTA :</w:t>
      </w:r>
      <w:bookmarkStart w:id="2" w:name="_GoBack"/>
      <w:bookmarkEnd w:id="2"/>
    </w:p>
    <w:p w14:paraId="30C6E5B9" w14:textId="1146E2B0" w:rsidR="00581D19" w:rsidRPr="00D93FB1" w:rsidRDefault="00581D19" w:rsidP="00581D19">
      <w:pPr>
        <w:jc w:val="both"/>
        <w:rPr>
          <w:color w:val="247DB5"/>
        </w:rPr>
      </w:pPr>
      <w:r w:rsidRPr="00D93FB1">
        <w:rPr>
          <w:color w:val="247DB5"/>
        </w:rPr>
        <w:t>Ce texte est une régression non seulement par rapport au projet initial mais aussi par rapport aux règles antérieures !</w:t>
      </w:r>
      <w:r w:rsidR="00D954F7" w:rsidRPr="00D93FB1">
        <w:rPr>
          <w:color w:val="247DB5"/>
        </w:rPr>
        <w:t xml:space="preserve"> Il faudra privilégier l’incitation à prendre les congés payés plutôt que la coercition.</w:t>
      </w:r>
    </w:p>
    <w:p w14:paraId="4D86A461" w14:textId="77777777" w:rsidR="00152732" w:rsidRDefault="00152732">
      <w:pPr>
        <w:rPr>
          <w:rFonts w:eastAsia="Times New Roman" w:cs="Arial"/>
          <w:b/>
          <w:bCs/>
          <w:color w:val="247DB5"/>
          <w:sz w:val="28"/>
          <w:szCs w:val="40"/>
          <w:lang w:eastAsia="fr-FR"/>
        </w:rPr>
      </w:pPr>
      <w:r>
        <w:br w:type="page"/>
      </w:r>
    </w:p>
    <w:p w14:paraId="52784711" w14:textId="06678C86" w:rsidR="000E5BF9" w:rsidRDefault="00581D19" w:rsidP="00152732">
      <w:pPr>
        <w:pStyle w:val="Marc2"/>
      </w:pPr>
      <w:bookmarkStart w:id="3" w:name="_Toc36105425"/>
      <w:r>
        <w:lastRenderedPageBreak/>
        <w:t xml:space="preserve">Les </w:t>
      </w:r>
      <w:r w:rsidRPr="00D954F7">
        <w:t>congés</w:t>
      </w:r>
      <w:r>
        <w:t xml:space="preserve"> non encore posés</w:t>
      </w:r>
      <w:bookmarkEnd w:id="3"/>
    </w:p>
    <w:p w14:paraId="553EF2CC" w14:textId="68B1CBFC" w:rsidR="000E5BF9" w:rsidRPr="00D954F7" w:rsidRDefault="000E5BF9" w:rsidP="00152732">
      <w:pPr>
        <w:pStyle w:val="Marc30"/>
      </w:pPr>
      <w:bookmarkStart w:id="4" w:name="_Toc36105426"/>
      <w:r w:rsidRPr="00D954F7">
        <w:t>Les congés concernés</w:t>
      </w:r>
      <w:bookmarkEnd w:id="4"/>
    </w:p>
    <w:p w14:paraId="168AB75A" w14:textId="45F1DFA6" w:rsidR="000E5BF9" w:rsidRDefault="000E5BF9" w:rsidP="000E5BF9">
      <w:pPr>
        <w:jc w:val="both"/>
      </w:pPr>
      <w:r>
        <w:t xml:space="preserve">Le texte ne distingue </w:t>
      </w:r>
      <w:r w:rsidR="00D954F7">
        <w:t>pas entre les congés acquis au titre des exercices précédents (jusqu’au 31 mai 2019) et les congés en cours d’acquisition (1</w:t>
      </w:r>
      <w:r w:rsidR="00D954F7" w:rsidRPr="00D954F7">
        <w:rPr>
          <w:vertAlign w:val="superscript"/>
        </w:rPr>
        <w:t>er</w:t>
      </w:r>
      <w:r w:rsidR="00D954F7">
        <w:t xml:space="preserve"> juin 2019 – 31 mai 2020).</w:t>
      </w:r>
    </w:p>
    <w:p w14:paraId="6C853A76" w14:textId="50B3DEB8" w:rsidR="00D954F7" w:rsidRDefault="00D954F7" w:rsidP="00152732">
      <w:pPr>
        <w:pStyle w:val="Marc30"/>
      </w:pPr>
      <w:bookmarkStart w:id="5" w:name="_Toc36105427"/>
      <w:r>
        <w:t>Imposer les congés</w:t>
      </w:r>
      <w:bookmarkEnd w:id="5"/>
    </w:p>
    <w:p w14:paraId="04A66BD9" w14:textId="0A760407" w:rsidR="000E5BF9" w:rsidRDefault="000E5BF9" w:rsidP="000E5BF9">
      <w:pPr>
        <w:jc w:val="both"/>
      </w:pPr>
      <w:r>
        <w:t>S</w:t>
      </w:r>
      <w:r w:rsidR="00581D19">
        <w:t>i les salariés ne souhaitent pas demander la prise de congés payés</w:t>
      </w:r>
      <w:r>
        <w:t>,</w:t>
      </w:r>
      <w:r w:rsidR="00581D19">
        <w:t xml:space="preserve"> ou si l’employeur ne souhaite pas leur poser la question, il faudrait imposer la prise de congés payés. En principe, l’employeur doit respecter une procédure comportant un délai de prévenance d’un mois.</w:t>
      </w:r>
    </w:p>
    <w:p w14:paraId="2876C073" w14:textId="1D23E21E" w:rsidR="00581D19" w:rsidRDefault="000E5BF9" w:rsidP="000E5BF9">
      <w:pPr>
        <w:jc w:val="both"/>
      </w:pPr>
      <w:r>
        <w:t>L’ordonnance prévoit que :</w:t>
      </w:r>
    </w:p>
    <w:p w14:paraId="5F6D84DC" w14:textId="7F841A3A" w:rsidR="000E5BF9" w:rsidRDefault="000E5BF9" w:rsidP="000E5BF9">
      <w:pPr>
        <w:pStyle w:val="Paragraphedeliste"/>
        <w:numPr>
          <w:ilvl w:val="0"/>
          <w:numId w:val="31"/>
        </w:numPr>
        <w:ind w:hanging="357"/>
        <w:contextualSpacing w:val="0"/>
        <w:jc w:val="both"/>
      </w:pPr>
      <w:r>
        <w:t>Pour imposer la prise de congés payés, il faut un accord d’entreprise ou de branche.</w:t>
      </w:r>
    </w:p>
    <w:p w14:paraId="742FB0FF" w14:textId="26708BB7" w:rsidR="000E5BF9" w:rsidRDefault="000E5BF9" w:rsidP="000E5BF9">
      <w:pPr>
        <w:pStyle w:val="Paragraphedeliste"/>
        <w:numPr>
          <w:ilvl w:val="1"/>
          <w:numId w:val="31"/>
        </w:numPr>
        <w:ind w:hanging="357"/>
        <w:contextualSpacing w:val="0"/>
        <w:jc w:val="both"/>
      </w:pPr>
      <w:r>
        <w:t>L’accord de branche est illusoire compte tenu de la durée nécessaire à la négociation d’un accord de branche et à son extension par arrêté ministériel.</w:t>
      </w:r>
    </w:p>
    <w:p w14:paraId="46ACA70C" w14:textId="26E8EAB8" w:rsidR="000E5BF9" w:rsidRDefault="000E5BF9" w:rsidP="000E5BF9">
      <w:pPr>
        <w:pStyle w:val="Paragraphedeliste"/>
        <w:numPr>
          <w:ilvl w:val="1"/>
          <w:numId w:val="31"/>
        </w:numPr>
        <w:ind w:hanging="357"/>
        <w:contextualSpacing w:val="0"/>
        <w:jc w:val="both"/>
      </w:pPr>
      <w:r>
        <w:t>L’accord d’entreprise :</w:t>
      </w:r>
    </w:p>
    <w:p w14:paraId="508168D6" w14:textId="61369826" w:rsidR="000E5BF9" w:rsidRDefault="000E5BF9" w:rsidP="000E5BF9">
      <w:pPr>
        <w:pStyle w:val="Paragraphedeliste"/>
        <w:numPr>
          <w:ilvl w:val="2"/>
          <w:numId w:val="31"/>
        </w:numPr>
        <w:ind w:hanging="357"/>
        <w:contextualSpacing w:val="0"/>
        <w:jc w:val="both"/>
      </w:pPr>
      <w:r>
        <w:t>Si l’entreprise a un ou des délégués syndicaux, la négociation et la conclusion peuvent être rapides.</w:t>
      </w:r>
    </w:p>
    <w:p w14:paraId="16F9762F" w14:textId="6A324026" w:rsidR="00CC3326" w:rsidRDefault="000E5BF9" w:rsidP="000E5BF9">
      <w:pPr>
        <w:pStyle w:val="Paragraphedeliste"/>
        <w:numPr>
          <w:ilvl w:val="2"/>
          <w:numId w:val="31"/>
        </w:numPr>
        <w:ind w:hanging="357"/>
        <w:contextualSpacing w:val="0"/>
        <w:jc w:val="both"/>
      </w:pPr>
      <w:r>
        <w:t xml:space="preserve">Si l’entreprise n’en a pas, tout dépend de sa situation et de sa taille, mais les délais peuvent être très courts (entreprise &lt; 50 salariés avec CSE), comme d’environ 3 semaines (entreprises </w:t>
      </w:r>
      <w:r>
        <w:rPr>
          <w:rFonts w:cs="Arial"/>
        </w:rPr>
        <w:t>≤</w:t>
      </w:r>
      <w:r>
        <w:t xml:space="preserve"> 20 salariés sans CSE), voire supérieurs à un mois (entreprises </w:t>
      </w:r>
      <w:r>
        <w:rPr>
          <w:rFonts w:cs="Arial"/>
        </w:rPr>
        <w:t>≥</w:t>
      </w:r>
      <w:r>
        <w:t xml:space="preserve"> 50 salariés avec CSE non mandaté par un syndicat).</w:t>
      </w:r>
    </w:p>
    <w:p w14:paraId="3D50CF74" w14:textId="77777777" w:rsidR="00D954F7" w:rsidRDefault="00D954F7" w:rsidP="00D954F7">
      <w:pPr>
        <w:pStyle w:val="Paragraphedeliste"/>
        <w:numPr>
          <w:ilvl w:val="0"/>
          <w:numId w:val="31"/>
        </w:numPr>
        <w:ind w:hanging="357"/>
        <w:contextualSpacing w:val="0"/>
        <w:jc w:val="both"/>
      </w:pPr>
      <w:r>
        <w:t>Les règles applicables aux congés ainsi fixés :</w:t>
      </w:r>
    </w:p>
    <w:p w14:paraId="320F8FB8" w14:textId="77777777" w:rsidR="00D93C94" w:rsidRDefault="00D954F7" w:rsidP="00D954F7">
      <w:pPr>
        <w:pStyle w:val="Paragraphedeliste"/>
        <w:numPr>
          <w:ilvl w:val="1"/>
          <w:numId w:val="31"/>
        </w:numPr>
        <w:contextualSpacing w:val="0"/>
        <w:jc w:val="both"/>
      </w:pPr>
      <w:r>
        <w:t>Les congés acquis du 1</w:t>
      </w:r>
      <w:r w:rsidRPr="00D954F7">
        <w:rPr>
          <w:vertAlign w:val="superscript"/>
        </w:rPr>
        <w:t>er</w:t>
      </w:r>
      <w:r>
        <w:t xml:space="preserve"> juin 2019 au 31 mai 2020 ne pouvaient en principe être pris qu’à compter du 1</w:t>
      </w:r>
      <w:r w:rsidRPr="00D954F7">
        <w:rPr>
          <w:vertAlign w:val="superscript"/>
        </w:rPr>
        <w:t>er</w:t>
      </w:r>
      <w:r>
        <w:t xml:space="preserve"> mai 2020. Le texte autorise à les anticiper, donc à les fixer en avril 2020 (voire en mars pour les plus rapides mais c’est illusoire).</w:t>
      </w:r>
    </w:p>
    <w:p w14:paraId="6B7D9BA0" w14:textId="2446623B" w:rsidR="00D954F7" w:rsidRDefault="00D93C94" w:rsidP="00D954F7">
      <w:pPr>
        <w:pStyle w:val="Paragraphedeliste"/>
        <w:numPr>
          <w:ilvl w:val="1"/>
          <w:numId w:val="31"/>
        </w:numPr>
        <w:contextualSpacing w:val="0"/>
        <w:jc w:val="both"/>
      </w:pPr>
      <w:r>
        <w:t>Le texte autorise aussi à retarder les congés d’été 2020 mais pas au-delà du 31 décembre 2020.</w:t>
      </w:r>
    </w:p>
    <w:p w14:paraId="1E2E1278" w14:textId="77777777" w:rsidR="00D954F7" w:rsidRDefault="00D954F7" w:rsidP="00D954F7">
      <w:pPr>
        <w:pStyle w:val="Paragraphedeliste"/>
        <w:numPr>
          <w:ilvl w:val="1"/>
          <w:numId w:val="31"/>
        </w:numPr>
        <w:contextualSpacing w:val="0"/>
        <w:jc w:val="both"/>
      </w:pPr>
      <w:r>
        <w:t>L’employeur ne peut pas imposer la prise de plus de 6 jours ouvrables de congés payés.</w:t>
      </w:r>
    </w:p>
    <w:p w14:paraId="490C50C1" w14:textId="68874129" w:rsidR="00D954F7" w:rsidRDefault="00D954F7" w:rsidP="00D954F7">
      <w:pPr>
        <w:pStyle w:val="Paragraphedeliste"/>
        <w:numPr>
          <w:ilvl w:val="1"/>
          <w:numId w:val="31"/>
        </w:numPr>
        <w:contextualSpacing w:val="0"/>
        <w:jc w:val="both"/>
      </w:pPr>
      <w:r>
        <w:t>L’employeur doit respecter un délai d’un jour franc pour imposer des congés payés.</w:t>
      </w:r>
    </w:p>
    <w:p w14:paraId="583A9D7B" w14:textId="640DD1F4" w:rsidR="00D954F7" w:rsidRDefault="000E5BF9" w:rsidP="00152732">
      <w:pPr>
        <w:pStyle w:val="Marc2"/>
      </w:pPr>
      <w:bookmarkStart w:id="6" w:name="_Toc36105428"/>
      <w:r>
        <w:t xml:space="preserve">Les </w:t>
      </w:r>
      <w:r w:rsidRPr="00D93C94">
        <w:t>congés</w:t>
      </w:r>
      <w:r>
        <w:t xml:space="preserve"> déjà posés</w:t>
      </w:r>
      <w:bookmarkEnd w:id="6"/>
    </w:p>
    <w:p w14:paraId="24D3D709" w14:textId="28C98E08" w:rsidR="000E5BF9" w:rsidRPr="00D954F7" w:rsidRDefault="00D954F7" w:rsidP="00D954F7">
      <w:pPr>
        <w:jc w:val="both"/>
        <w:rPr>
          <w:b/>
          <w:bCs/>
        </w:rPr>
      </w:pPr>
      <w:r w:rsidRPr="00D954F7">
        <w:rPr>
          <w:b/>
          <w:bCs/>
        </w:rPr>
        <w:t>A</w:t>
      </w:r>
      <w:r w:rsidR="000E5BF9" w:rsidRPr="00D954F7">
        <w:rPr>
          <w:b/>
          <w:bCs/>
        </w:rPr>
        <w:t xml:space="preserve">lors qu’il était déjà possible d’en modifier </w:t>
      </w:r>
      <w:r w:rsidRPr="00D954F7">
        <w:rPr>
          <w:b/>
          <w:bCs/>
        </w:rPr>
        <w:t xml:space="preserve">unilatéralement </w:t>
      </w:r>
      <w:r w:rsidR="000E5BF9" w:rsidRPr="00D954F7">
        <w:rPr>
          <w:b/>
          <w:bCs/>
        </w:rPr>
        <w:t>la date en cas de circonstances exceptionnelles, l’ordonnance exige maintenant un accord d’entreprise ou de branche pour pouvoir le faire !</w:t>
      </w:r>
      <w:r w:rsidRPr="00D954F7">
        <w:rPr>
          <w:b/>
          <w:bCs/>
        </w:rPr>
        <w:t xml:space="preserve"> Il s’agit là d’une régression du pouvoir de l’employeur.</w:t>
      </w:r>
    </w:p>
    <w:p w14:paraId="0E0ADB5F" w14:textId="0184D2B4" w:rsidR="00D954F7" w:rsidRDefault="000E5BF9" w:rsidP="00D954F7">
      <w:pPr>
        <w:pStyle w:val="Paragraphedeliste"/>
        <w:numPr>
          <w:ilvl w:val="0"/>
          <w:numId w:val="31"/>
        </w:numPr>
        <w:ind w:hanging="357"/>
        <w:contextualSpacing w:val="0"/>
        <w:jc w:val="both"/>
      </w:pPr>
      <w:r>
        <w:t>En cas d’accord d’entreprise le permettant</w:t>
      </w:r>
      <w:r w:rsidR="00D954F7">
        <w:t>, l</w:t>
      </w:r>
      <w:r w:rsidR="00D954F7">
        <w:t>’employeur doit respecter un délai d’un jour franc pour imposer des congés payés</w:t>
      </w:r>
    </w:p>
    <w:p w14:paraId="2806CA87" w14:textId="4A4F1EC7" w:rsidR="00475EDB" w:rsidRPr="0040793B" w:rsidRDefault="009235FC" w:rsidP="00152732">
      <w:pPr>
        <w:pStyle w:val="Marc1"/>
      </w:pPr>
      <w:bookmarkStart w:id="7" w:name="_Toc36105429"/>
      <w:r>
        <w:t>Modifier les RTT et jours de repos</w:t>
      </w:r>
      <w:bookmarkEnd w:id="7"/>
    </w:p>
    <w:p w14:paraId="4488CA16" w14:textId="77777777" w:rsidR="009235FC" w:rsidRPr="009235FC" w:rsidRDefault="009235FC" w:rsidP="009235FC">
      <w:pPr>
        <w:jc w:val="both"/>
        <w:rPr>
          <w:i/>
          <w:iCs/>
        </w:rPr>
      </w:pPr>
      <w:r w:rsidRPr="009235FC">
        <w:rPr>
          <w:i/>
          <w:iCs/>
        </w:rPr>
        <w:t>Lorsque l'intérêt de l'entreprise le justifie eu égard aux difficultés économiques liées à la propagation du covid-19, et par dérogation à l'accord ou à la convention collective instituant un dispositif de réduction du temps de travail maintenu en vigueur en application de la loi du 20 août 2008 susvisée ou un dispositif de jours de repos conventionnels mis en place dans le cadre des dispositions prévues aux articles L. 3121-41 à L. 3121-47 du code du travail, l'employeur peut, sous réserve de respecter un délai de prévenance d'au moins un jour franc :</w:t>
      </w:r>
    </w:p>
    <w:p w14:paraId="4EBD8668" w14:textId="23E456E9" w:rsidR="009235FC" w:rsidRPr="009235FC" w:rsidRDefault="009235FC" w:rsidP="009235FC">
      <w:pPr>
        <w:jc w:val="both"/>
        <w:rPr>
          <w:i/>
          <w:iCs/>
        </w:rPr>
      </w:pPr>
      <w:r w:rsidRPr="009235FC">
        <w:rPr>
          <w:i/>
          <w:iCs/>
        </w:rPr>
        <w:lastRenderedPageBreak/>
        <w:t xml:space="preserve">1° Imposer la prise, à des dates déterminées par lui, de jours de repos au choix du salarié acquis par ce </w:t>
      </w:r>
      <w:proofErr w:type="gramStart"/>
      <w:r w:rsidRPr="009235FC">
        <w:rPr>
          <w:i/>
          <w:iCs/>
        </w:rPr>
        <w:t>dernier;</w:t>
      </w:r>
      <w:proofErr w:type="gramEnd"/>
    </w:p>
    <w:p w14:paraId="57DA2A82" w14:textId="77777777" w:rsidR="009235FC" w:rsidRPr="009235FC" w:rsidRDefault="009235FC" w:rsidP="009235FC">
      <w:pPr>
        <w:jc w:val="both"/>
        <w:rPr>
          <w:i/>
          <w:iCs/>
        </w:rPr>
      </w:pPr>
      <w:r w:rsidRPr="009235FC">
        <w:rPr>
          <w:i/>
          <w:iCs/>
        </w:rPr>
        <w:t>2° Modifier unilatéralement les dates de prise de jours de repos.</w:t>
      </w:r>
    </w:p>
    <w:p w14:paraId="7AC229F8" w14:textId="77777777" w:rsidR="009235FC" w:rsidRDefault="009235FC" w:rsidP="009235FC">
      <w:pPr>
        <w:jc w:val="both"/>
        <w:rPr>
          <w:i/>
          <w:iCs/>
        </w:rPr>
      </w:pPr>
      <w:r w:rsidRPr="009235FC">
        <w:rPr>
          <w:i/>
          <w:iCs/>
        </w:rPr>
        <w:t>La période de prise des jours de repos imposée ou modifiée en application du présent article ne peut s'étendre au-delà du 31 décembre 2020.</w:t>
      </w:r>
    </w:p>
    <w:p w14:paraId="39B8A328" w14:textId="09E6EA96" w:rsidR="00CC3326" w:rsidRPr="00CC3326" w:rsidRDefault="00CC3326" w:rsidP="009235FC">
      <w:pPr>
        <w:jc w:val="both"/>
        <w:rPr>
          <w:b/>
          <w:bCs/>
          <w:color w:val="247DB5"/>
        </w:rPr>
      </w:pPr>
      <w:r w:rsidRPr="00CC3326">
        <w:rPr>
          <w:b/>
          <w:bCs/>
          <w:color w:val="247DB5"/>
        </w:rPr>
        <w:t>MTA :</w:t>
      </w:r>
    </w:p>
    <w:p w14:paraId="439F2453" w14:textId="1BD95ACC" w:rsidR="00CC3326" w:rsidRPr="009235FC" w:rsidRDefault="009235FC" w:rsidP="009235FC">
      <w:pPr>
        <w:jc w:val="both"/>
        <w:rPr>
          <w:color w:val="247DB5"/>
        </w:rPr>
      </w:pPr>
      <w:r w:rsidRPr="009235FC">
        <w:rPr>
          <w:color w:val="247DB5"/>
        </w:rPr>
        <w:t xml:space="preserve">Dans tous les dispositifs d’aménagement du temps de travail </w:t>
      </w:r>
      <w:r>
        <w:rPr>
          <w:color w:val="247DB5"/>
        </w:rPr>
        <w:t xml:space="preserve">sur deux ou plusieurs semaines, </w:t>
      </w:r>
      <w:r w:rsidRPr="009235FC">
        <w:rPr>
          <w:color w:val="247DB5"/>
        </w:rPr>
        <w:t>comportant des jours RTT ou de repos prévus par un accord ou une convention collective, l’employeur peut imposer unilatéralement</w:t>
      </w:r>
      <w:r>
        <w:rPr>
          <w:color w:val="247DB5"/>
        </w:rPr>
        <w:t> :</w:t>
      </w:r>
    </w:p>
    <w:p w14:paraId="1079E736" w14:textId="0B6D5595" w:rsidR="009235FC" w:rsidRDefault="009235FC" w:rsidP="009235FC">
      <w:pPr>
        <w:pStyle w:val="Paragraphedeliste"/>
        <w:numPr>
          <w:ilvl w:val="0"/>
          <w:numId w:val="31"/>
        </w:numPr>
        <w:ind w:hanging="357"/>
        <w:contextualSpacing w:val="0"/>
        <w:jc w:val="both"/>
        <w:rPr>
          <w:color w:val="247DB5"/>
        </w:rPr>
      </w:pPr>
      <w:r>
        <w:rPr>
          <w:color w:val="247DB5"/>
        </w:rPr>
        <w:t>La prise des jours acquis ;</w:t>
      </w:r>
    </w:p>
    <w:p w14:paraId="7C78F51D" w14:textId="0F2A3216" w:rsidR="009235FC" w:rsidRDefault="009235FC" w:rsidP="009235FC">
      <w:pPr>
        <w:pStyle w:val="Paragraphedeliste"/>
        <w:numPr>
          <w:ilvl w:val="0"/>
          <w:numId w:val="31"/>
        </w:numPr>
        <w:ind w:hanging="357"/>
        <w:contextualSpacing w:val="0"/>
        <w:jc w:val="both"/>
        <w:rPr>
          <w:color w:val="247DB5"/>
        </w:rPr>
      </w:pPr>
      <w:r>
        <w:rPr>
          <w:color w:val="247DB5"/>
        </w:rPr>
        <w:t>La modification des dates des jours déjà posés avec une date limite au 31 décembre 2020 ;</w:t>
      </w:r>
    </w:p>
    <w:p w14:paraId="60D02053" w14:textId="7C7CF4A9" w:rsidR="009235FC" w:rsidRDefault="009235FC" w:rsidP="009235FC">
      <w:pPr>
        <w:pStyle w:val="Paragraphedeliste"/>
        <w:numPr>
          <w:ilvl w:val="0"/>
          <w:numId w:val="31"/>
        </w:numPr>
        <w:ind w:hanging="357"/>
        <w:contextualSpacing w:val="0"/>
        <w:jc w:val="both"/>
        <w:rPr>
          <w:color w:val="247DB5"/>
        </w:rPr>
      </w:pPr>
      <w:r>
        <w:rPr>
          <w:color w:val="247DB5"/>
        </w:rPr>
        <w:t>Le tout avec un maximum de 10 jours imposés ou modifiés.</w:t>
      </w:r>
    </w:p>
    <w:p w14:paraId="60C2EC35" w14:textId="6A44F768" w:rsidR="009235FC" w:rsidRPr="009235FC" w:rsidRDefault="009235FC" w:rsidP="009235FC">
      <w:pPr>
        <w:ind w:left="3"/>
        <w:jc w:val="both"/>
        <w:rPr>
          <w:color w:val="247DB5"/>
        </w:rPr>
      </w:pPr>
      <w:r>
        <w:rPr>
          <w:color w:val="247DB5"/>
        </w:rPr>
        <w:t xml:space="preserve">Remarque : si l’entreprise a mis en place unilatéralement une organisation sur 2 à 4 semaines avec un horaire supérieur à 35 heures et des jours RTT, rien ne lui interdit de passer temporairement ou non à un horaire fixe de 35 heures (sous réserve de consulter le CSE dans les entreprises </w:t>
      </w:r>
      <w:r>
        <w:rPr>
          <w:rFonts w:cs="Arial"/>
          <w:color w:val="247DB5"/>
        </w:rPr>
        <w:t>≥</w:t>
      </w:r>
      <w:r>
        <w:rPr>
          <w:color w:val="247DB5"/>
        </w:rPr>
        <w:t xml:space="preserve"> 50 salariés et d’informer l’inspection du travail de la modification de l’horaire).</w:t>
      </w:r>
    </w:p>
    <w:p w14:paraId="4EE2DE58" w14:textId="11325F25" w:rsidR="009235FC" w:rsidRPr="0040793B" w:rsidRDefault="009235FC" w:rsidP="00152732">
      <w:pPr>
        <w:pStyle w:val="Marc1"/>
      </w:pPr>
      <w:bookmarkStart w:id="8" w:name="_Toc36105430"/>
      <w:r>
        <w:t>Modifier les jours de repos</w:t>
      </w:r>
      <w:r>
        <w:t xml:space="preserve"> des forfaits</w:t>
      </w:r>
      <w:bookmarkEnd w:id="8"/>
      <w:r>
        <w:t xml:space="preserve"> </w:t>
      </w:r>
    </w:p>
    <w:p w14:paraId="5677E76D" w14:textId="77777777" w:rsidR="009235FC" w:rsidRPr="009235FC" w:rsidRDefault="009235FC" w:rsidP="009235FC">
      <w:pPr>
        <w:jc w:val="both"/>
        <w:rPr>
          <w:i/>
          <w:iCs/>
        </w:rPr>
      </w:pPr>
      <w:r w:rsidRPr="009235FC">
        <w:rPr>
          <w:i/>
          <w:iCs/>
        </w:rPr>
        <w:t>Lorsque l'intérêt de l'entreprise le justifie eu égard aux difficultés économiques liées à la propagation du covid-19, et par dérogation à la section 5 du chapitre Ier du titre II du livre Ier de la troisième partie du code du travail, notamment son article L. 3121-64, et aux stipulations conventionnelles applicables au salarié dans l'entreprise, l'établissement ou la branche, l'employeur peut, sous réserve de respecter un délai de prévenance d'au moins un jour franc :</w:t>
      </w:r>
    </w:p>
    <w:p w14:paraId="50F61B2F" w14:textId="5AEE61D0" w:rsidR="009235FC" w:rsidRPr="009235FC" w:rsidRDefault="009235FC" w:rsidP="009235FC">
      <w:pPr>
        <w:jc w:val="both"/>
        <w:rPr>
          <w:i/>
          <w:iCs/>
        </w:rPr>
      </w:pPr>
      <w:r w:rsidRPr="009235FC">
        <w:rPr>
          <w:i/>
          <w:iCs/>
        </w:rPr>
        <w:t xml:space="preserve">1° Décider de la prise, à des dates déterminées par lui, de jours de repos prévus par une convention de </w:t>
      </w:r>
      <w:proofErr w:type="gramStart"/>
      <w:r w:rsidRPr="009235FC">
        <w:rPr>
          <w:i/>
          <w:iCs/>
        </w:rPr>
        <w:t>forfait;</w:t>
      </w:r>
      <w:proofErr w:type="gramEnd"/>
    </w:p>
    <w:p w14:paraId="0C7DCB12" w14:textId="77777777" w:rsidR="009235FC" w:rsidRPr="009235FC" w:rsidRDefault="009235FC" w:rsidP="009235FC">
      <w:pPr>
        <w:jc w:val="both"/>
        <w:rPr>
          <w:i/>
          <w:iCs/>
        </w:rPr>
      </w:pPr>
      <w:r w:rsidRPr="009235FC">
        <w:rPr>
          <w:i/>
          <w:iCs/>
        </w:rPr>
        <w:t>2° Modifier unilatéralement les dates de prise de jours de repos prévus par une convention de forfait.</w:t>
      </w:r>
    </w:p>
    <w:p w14:paraId="755AB871" w14:textId="5DF2E21E" w:rsidR="00AE0611" w:rsidRDefault="009235FC" w:rsidP="009235FC">
      <w:pPr>
        <w:jc w:val="both"/>
        <w:rPr>
          <w:i/>
          <w:iCs/>
        </w:rPr>
      </w:pPr>
      <w:r w:rsidRPr="009235FC">
        <w:rPr>
          <w:i/>
          <w:iCs/>
        </w:rPr>
        <w:t>La période de prise des jours de repos imposée ou modifiée en application du présent article ne peut s'étendre au-delà du 31 décembre 2020.</w:t>
      </w:r>
    </w:p>
    <w:p w14:paraId="49D98120" w14:textId="621E0679" w:rsidR="00273F02" w:rsidRPr="00273F02" w:rsidRDefault="00273F02" w:rsidP="009235FC">
      <w:pPr>
        <w:jc w:val="both"/>
        <w:rPr>
          <w:b/>
          <w:bCs/>
          <w:color w:val="247DB5"/>
        </w:rPr>
      </w:pPr>
      <w:r w:rsidRPr="00273F02">
        <w:rPr>
          <w:b/>
          <w:bCs/>
          <w:color w:val="247DB5"/>
        </w:rPr>
        <w:t>MTA :</w:t>
      </w:r>
    </w:p>
    <w:p w14:paraId="72709B25" w14:textId="63B6DF5F" w:rsidR="00273F02" w:rsidRDefault="00273F02" w:rsidP="009235FC">
      <w:pPr>
        <w:jc w:val="both"/>
        <w:rPr>
          <w:color w:val="247DB5"/>
        </w:rPr>
      </w:pPr>
      <w:r>
        <w:rPr>
          <w:color w:val="247DB5"/>
        </w:rPr>
        <w:t>L’ordonnance étend la possibilité d’imposer unilatéralement les jours de repos aux salariés (en général cadres) qui travaillent selon une convention de forfait en en heures sur l’année ou en jours sur l’année.</w:t>
      </w:r>
    </w:p>
    <w:p w14:paraId="79A430BA" w14:textId="0D08A24F" w:rsidR="00273F02" w:rsidRDefault="00273F02" w:rsidP="009235FC">
      <w:pPr>
        <w:jc w:val="both"/>
        <w:rPr>
          <w:color w:val="247DB5"/>
        </w:rPr>
      </w:pPr>
      <w:r>
        <w:rPr>
          <w:color w:val="247DB5"/>
        </w:rPr>
        <w:t>Deux limites :</w:t>
      </w:r>
    </w:p>
    <w:p w14:paraId="1F47599D" w14:textId="3E5D1064" w:rsidR="00273F02" w:rsidRDefault="00273F02" w:rsidP="00273F02">
      <w:pPr>
        <w:pStyle w:val="Paragraphedeliste"/>
        <w:numPr>
          <w:ilvl w:val="0"/>
          <w:numId w:val="31"/>
        </w:numPr>
        <w:ind w:hanging="357"/>
        <w:contextualSpacing w:val="0"/>
        <w:jc w:val="both"/>
        <w:rPr>
          <w:color w:val="247DB5"/>
        </w:rPr>
      </w:pPr>
      <w:r>
        <w:rPr>
          <w:color w:val="247DB5"/>
        </w:rPr>
        <w:t>Les jours de repos ne peuvent pas être décalés au-delà du 31 décembre 2020 ;</w:t>
      </w:r>
    </w:p>
    <w:p w14:paraId="134AA439" w14:textId="4724E19C" w:rsidR="00273F02" w:rsidRDefault="00273F02" w:rsidP="00273F02">
      <w:pPr>
        <w:pStyle w:val="Paragraphedeliste"/>
        <w:numPr>
          <w:ilvl w:val="0"/>
          <w:numId w:val="31"/>
        </w:numPr>
        <w:ind w:hanging="357"/>
        <w:contextualSpacing w:val="0"/>
        <w:jc w:val="both"/>
        <w:rPr>
          <w:color w:val="247DB5"/>
        </w:rPr>
      </w:pPr>
      <w:r>
        <w:rPr>
          <w:color w:val="247DB5"/>
        </w:rPr>
        <w:t>Pas plus de 10 jours de repos imposés ou décalés.</w:t>
      </w:r>
    </w:p>
    <w:p w14:paraId="6CEFE59A" w14:textId="62FC2298" w:rsidR="00273F02" w:rsidRDefault="00273F02" w:rsidP="00152732">
      <w:pPr>
        <w:pStyle w:val="Marc1"/>
      </w:pPr>
      <w:bookmarkStart w:id="9" w:name="_Toc36105431"/>
      <w:r>
        <w:t>Les jours épargnés sur un compte épargne temps</w:t>
      </w:r>
      <w:bookmarkEnd w:id="9"/>
    </w:p>
    <w:p w14:paraId="05DD7DE6" w14:textId="77777777" w:rsidR="00273F02" w:rsidRPr="00273F02" w:rsidRDefault="00273F02" w:rsidP="00273F02">
      <w:pPr>
        <w:jc w:val="both"/>
        <w:rPr>
          <w:i/>
          <w:iCs/>
        </w:rPr>
      </w:pPr>
      <w:r w:rsidRPr="00273F02">
        <w:rPr>
          <w:i/>
          <w:iCs/>
        </w:rPr>
        <w:t>Lorsque l'intérêt de l'entreprise le justifie eu égard aux difficultés économiques liées à la propagation du covid-19, et par dérogation au titre V du livre Ier de la troisième partie du code du travail, notamment ses articles L. 3151-3 et L. 3152-2, et aux stipulations conventionnelles applicables dans l'entreprise, l'établissement ou la branche, l'employeur peut imposer que les droits affectés sur le compte épargne-temps du salarié soient utilisés par la prise de jours de repos, dont il détermine les dates en respectant un délai de prévenance d'au moins un jour franc.</w:t>
      </w:r>
    </w:p>
    <w:p w14:paraId="7DC808D7" w14:textId="1D339994" w:rsidR="00273F02" w:rsidRPr="00273F02" w:rsidRDefault="00273F02" w:rsidP="00273F02">
      <w:pPr>
        <w:jc w:val="both"/>
        <w:rPr>
          <w:i/>
          <w:iCs/>
        </w:rPr>
      </w:pPr>
      <w:r w:rsidRPr="00273F02">
        <w:rPr>
          <w:i/>
          <w:iCs/>
        </w:rPr>
        <w:t>La période de prise de jours de repos imposée en application du présent article ne peut s'étendre au-delà du 31 décembre 2020.</w:t>
      </w:r>
    </w:p>
    <w:p w14:paraId="181377C4" w14:textId="77777777" w:rsidR="00273F02" w:rsidRPr="00273F02" w:rsidRDefault="00273F02" w:rsidP="00273F02">
      <w:pPr>
        <w:jc w:val="both"/>
        <w:rPr>
          <w:b/>
          <w:bCs/>
          <w:color w:val="247DB5"/>
        </w:rPr>
      </w:pPr>
      <w:r w:rsidRPr="00273F02">
        <w:rPr>
          <w:b/>
          <w:bCs/>
          <w:color w:val="247DB5"/>
        </w:rPr>
        <w:lastRenderedPageBreak/>
        <w:t>MTA :</w:t>
      </w:r>
    </w:p>
    <w:p w14:paraId="3DE65493" w14:textId="110F7FB1" w:rsidR="00273F02" w:rsidRDefault="00273F02" w:rsidP="00273F02">
      <w:pPr>
        <w:jc w:val="both"/>
        <w:rPr>
          <w:color w:val="247DB5"/>
        </w:rPr>
      </w:pPr>
      <w:r>
        <w:rPr>
          <w:color w:val="247DB5"/>
        </w:rPr>
        <w:t xml:space="preserve">L’ordonnance étend la possibilité d’imposer unilatéralement les jours de repos aux salariés </w:t>
      </w:r>
      <w:r>
        <w:rPr>
          <w:color w:val="247DB5"/>
        </w:rPr>
        <w:t>qui ont accumulés des droits sur un compte épargne temps.</w:t>
      </w:r>
    </w:p>
    <w:p w14:paraId="484751FC" w14:textId="01A70F26" w:rsidR="00273F02" w:rsidRDefault="00273F02" w:rsidP="00273F02">
      <w:pPr>
        <w:jc w:val="both"/>
        <w:rPr>
          <w:color w:val="247DB5"/>
        </w:rPr>
      </w:pPr>
      <w:r>
        <w:rPr>
          <w:color w:val="247DB5"/>
        </w:rPr>
        <w:t xml:space="preserve">Trois </w:t>
      </w:r>
      <w:r>
        <w:rPr>
          <w:color w:val="247DB5"/>
        </w:rPr>
        <w:t>limites :</w:t>
      </w:r>
    </w:p>
    <w:p w14:paraId="73210E6E" w14:textId="0FC35456" w:rsidR="00273F02" w:rsidRDefault="00273F02" w:rsidP="00273F02">
      <w:pPr>
        <w:pStyle w:val="Paragraphedeliste"/>
        <w:numPr>
          <w:ilvl w:val="0"/>
          <w:numId w:val="31"/>
        </w:numPr>
        <w:ind w:hanging="357"/>
        <w:contextualSpacing w:val="0"/>
        <w:jc w:val="both"/>
        <w:rPr>
          <w:color w:val="247DB5"/>
        </w:rPr>
      </w:pPr>
      <w:r>
        <w:rPr>
          <w:color w:val="247DB5"/>
        </w:rPr>
        <w:t xml:space="preserve">Les jours de repos ne peuvent pas être </w:t>
      </w:r>
      <w:r>
        <w:rPr>
          <w:color w:val="247DB5"/>
        </w:rPr>
        <w:t xml:space="preserve">imposés </w:t>
      </w:r>
      <w:r>
        <w:rPr>
          <w:color w:val="247DB5"/>
        </w:rPr>
        <w:t>au-delà du 31 décembre 2020 ;</w:t>
      </w:r>
    </w:p>
    <w:p w14:paraId="563382A7" w14:textId="00FCE2C6" w:rsidR="00273F02" w:rsidRDefault="00273F02" w:rsidP="00273F02">
      <w:pPr>
        <w:pStyle w:val="Paragraphedeliste"/>
        <w:numPr>
          <w:ilvl w:val="0"/>
          <w:numId w:val="31"/>
        </w:numPr>
        <w:ind w:hanging="357"/>
        <w:contextualSpacing w:val="0"/>
        <w:jc w:val="both"/>
        <w:rPr>
          <w:color w:val="247DB5"/>
        </w:rPr>
      </w:pPr>
      <w:r>
        <w:rPr>
          <w:color w:val="247DB5"/>
        </w:rPr>
        <w:t>Pas plus de 10 jours de repos imposés.</w:t>
      </w:r>
    </w:p>
    <w:p w14:paraId="009481BA" w14:textId="778D863C" w:rsidR="00273F02" w:rsidRDefault="00273F02" w:rsidP="00273F02">
      <w:pPr>
        <w:pStyle w:val="Paragraphedeliste"/>
        <w:numPr>
          <w:ilvl w:val="0"/>
          <w:numId w:val="31"/>
        </w:numPr>
        <w:ind w:hanging="357"/>
        <w:contextualSpacing w:val="0"/>
        <w:jc w:val="both"/>
        <w:rPr>
          <w:color w:val="247DB5"/>
        </w:rPr>
      </w:pPr>
      <w:r>
        <w:rPr>
          <w:color w:val="247DB5"/>
        </w:rPr>
        <w:t>Délai de prévenance : un jour franc minimum.</w:t>
      </w:r>
    </w:p>
    <w:p w14:paraId="19FFDAB0" w14:textId="66D21978" w:rsidR="00273F02" w:rsidRDefault="00E429CA" w:rsidP="00152732">
      <w:pPr>
        <w:pStyle w:val="Marc1"/>
      </w:pPr>
      <w:bookmarkStart w:id="10" w:name="_Toc36105432"/>
      <w:r>
        <w:t>La durée du travail</w:t>
      </w:r>
      <w:bookmarkEnd w:id="10"/>
    </w:p>
    <w:p w14:paraId="25280F86" w14:textId="5E154EA6" w:rsidR="00DB0713" w:rsidRDefault="00DB0713" w:rsidP="00DB0713">
      <w:pPr>
        <w:rPr>
          <w:lang w:eastAsia="fr-FR"/>
        </w:rPr>
      </w:pPr>
      <w:r>
        <w:rPr>
          <w:lang w:eastAsia="fr-FR"/>
        </w:rPr>
        <w:t>L’ordonnance envisage ici la situation des entreprises pour lesquelles l’épidémie de Covid-19 n’a pas entraîné un arrêt ou une réduction de l’activité mais une augmentation de l’activité ou une réduction des délais de livraison.</w:t>
      </w:r>
    </w:p>
    <w:p w14:paraId="727724E5" w14:textId="7F389A25" w:rsidR="00DB0713" w:rsidRPr="00DB0713" w:rsidRDefault="00DB0713" w:rsidP="00DB0713">
      <w:pPr>
        <w:rPr>
          <w:lang w:eastAsia="fr-FR"/>
        </w:rPr>
      </w:pPr>
      <w:r>
        <w:rPr>
          <w:lang w:eastAsia="fr-FR"/>
        </w:rPr>
        <w:t>Ces entreprises sont mises en situation de pouvoir travailler plus, et ce jusqu’au 31 décembre 2020.</w:t>
      </w:r>
    </w:p>
    <w:p w14:paraId="3825CE7E" w14:textId="18B0102D" w:rsidR="00273F02" w:rsidRDefault="00E429CA" w:rsidP="00152732">
      <w:pPr>
        <w:pStyle w:val="Marc2"/>
      </w:pPr>
      <w:bookmarkStart w:id="11" w:name="_Toc36105433"/>
      <w:r>
        <w:t>Les secteurs d’activité concernés</w:t>
      </w:r>
      <w:bookmarkEnd w:id="11"/>
    </w:p>
    <w:p w14:paraId="5DE06160" w14:textId="37AACB1A" w:rsidR="00E429CA" w:rsidRPr="00E429CA" w:rsidRDefault="00E429CA" w:rsidP="00273F02">
      <w:pPr>
        <w:rPr>
          <w:i/>
          <w:iCs/>
          <w:lang w:eastAsia="fr-FR"/>
        </w:rPr>
      </w:pPr>
      <w:r w:rsidRPr="00E429CA">
        <w:rPr>
          <w:i/>
          <w:iCs/>
          <w:lang w:eastAsia="fr-FR"/>
        </w:rPr>
        <w:t>Dans les entreprises relevant de secteurs d'activités particulièrement nécessaires à la sécurité de la Nation et à la continuité de la vie économique et sociale, déterminés par décret et, le cas échéant, par dérogation aux stipulations conventionnelles applicables</w:t>
      </w:r>
      <w:r w:rsidRPr="00E429CA">
        <w:rPr>
          <w:i/>
          <w:iCs/>
          <w:lang w:eastAsia="fr-FR"/>
        </w:rPr>
        <w:t>.</w:t>
      </w:r>
    </w:p>
    <w:p w14:paraId="4A781780" w14:textId="60D73CA1" w:rsidR="00DB0713" w:rsidRPr="00DB0713" w:rsidRDefault="00DB0713" w:rsidP="00273F02">
      <w:pPr>
        <w:rPr>
          <w:b/>
          <w:bCs/>
          <w:color w:val="247DB5"/>
          <w:lang w:eastAsia="fr-FR"/>
        </w:rPr>
      </w:pPr>
      <w:r w:rsidRPr="00DB0713">
        <w:rPr>
          <w:b/>
          <w:bCs/>
          <w:color w:val="247DB5"/>
          <w:lang w:eastAsia="fr-FR"/>
        </w:rPr>
        <w:t>MTA :</w:t>
      </w:r>
    </w:p>
    <w:p w14:paraId="4737F3EA" w14:textId="685CC82B" w:rsidR="00E429CA" w:rsidRPr="00DB0713" w:rsidRDefault="00E429CA" w:rsidP="00273F02">
      <w:pPr>
        <w:rPr>
          <w:color w:val="247DB5"/>
          <w:lang w:eastAsia="fr-FR"/>
        </w:rPr>
      </w:pPr>
      <w:r w:rsidRPr="00DB0713">
        <w:rPr>
          <w:color w:val="247DB5"/>
          <w:lang w:eastAsia="fr-FR"/>
        </w:rPr>
        <w:t>On ne les connait pas encore et il faudra attendre un décret non encore paru.</w:t>
      </w:r>
    </w:p>
    <w:p w14:paraId="21F5BA9B" w14:textId="0F86F603" w:rsidR="00E429CA" w:rsidRDefault="00E429CA" w:rsidP="00273F02">
      <w:pPr>
        <w:rPr>
          <w:color w:val="247DB5"/>
          <w:lang w:eastAsia="fr-FR"/>
        </w:rPr>
      </w:pPr>
      <w:r w:rsidRPr="00DB0713">
        <w:rPr>
          <w:color w:val="247DB5"/>
          <w:lang w:eastAsia="fr-FR"/>
        </w:rPr>
        <w:t xml:space="preserve">Selon le ministre du travail, </w:t>
      </w:r>
      <w:r w:rsidRPr="00DB0713">
        <w:rPr>
          <w:color w:val="247DB5"/>
          <w:lang w:eastAsia="fr-FR"/>
        </w:rPr>
        <w:t>cela concernera des secteurs absolument nécessaires à la continuité de l’activité existentielle du pays ; énergie, télécoms, logistique, transport, secteur agricole et agroalimentaire</w:t>
      </w:r>
      <w:r w:rsidR="00DB0713" w:rsidRPr="00DB0713">
        <w:rPr>
          <w:color w:val="247DB5"/>
          <w:lang w:eastAsia="fr-FR"/>
        </w:rPr>
        <w:t>, etc.</w:t>
      </w:r>
    </w:p>
    <w:p w14:paraId="5DBD8010" w14:textId="77777777" w:rsidR="00152732" w:rsidRDefault="00152732" w:rsidP="00152732">
      <w:pPr>
        <w:jc w:val="both"/>
        <w:rPr>
          <w:lang w:eastAsia="fr-FR"/>
        </w:rPr>
      </w:pPr>
      <w:r>
        <w:rPr>
          <w:lang w:eastAsia="fr-FR"/>
        </w:rPr>
        <w:t xml:space="preserve">Dans chacun de ces secteurs, un </w:t>
      </w:r>
      <w:r>
        <w:rPr>
          <w:lang w:eastAsia="fr-FR"/>
        </w:rPr>
        <w:t>décret précise</w:t>
      </w:r>
      <w:r>
        <w:rPr>
          <w:lang w:eastAsia="fr-FR"/>
        </w:rPr>
        <w:t>ra quelles règles seront applicables et dans quelles limites.</w:t>
      </w:r>
    </w:p>
    <w:p w14:paraId="2BE813EB" w14:textId="0B43754C" w:rsidR="00DB0713" w:rsidRDefault="00DB0713" w:rsidP="00152732">
      <w:pPr>
        <w:pStyle w:val="Marc2"/>
      </w:pPr>
      <w:bookmarkStart w:id="12" w:name="_Toc36105434"/>
      <w:r>
        <w:t>Les règles modifiées</w:t>
      </w:r>
      <w:bookmarkEnd w:id="12"/>
    </w:p>
    <w:p w14:paraId="298F5396" w14:textId="622955EC" w:rsidR="00DB0713" w:rsidRDefault="00DB0713" w:rsidP="00273F02">
      <w:pPr>
        <w:rPr>
          <w:lang w:eastAsia="fr-FR"/>
        </w:rPr>
      </w:pPr>
      <w:r>
        <w:rPr>
          <w:lang w:eastAsia="fr-FR"/>
        </w:rPr>
        <w:t>L’ordonnance (et le décret à paraître) permet de dépasser les limites antérieures sans avoir besoin d’un accord collectif d’entreprise ou de branche. L’employeur pourra donc l’imposer unilatéralement.</w:t>
      </w:r>
    </w:p>
    <w:p w14:paraId="35F7A114" w14:textId="397E8237" w:rsidR="00DB0713" w:rsidRDefault="00DB0713" w:rsidP="00DB0713">
      <w:pPr>
        <w:pStyle w:val="Paragraphedeliste"/>
        <w:numPr>
          <w:ilvl w:val="0"/>
          <w:numId w:val="38"/>
        </w:numPr>
        <w:ind w:left="357" w:hanging="357"/>
        <w:contextualSpacing w:val="0"/>
        <w:rPr>
          <w:lang w:eastAsia="fr-FR"/>
        </w:rPr>
      </w:pPr>
      <w:r w:rsidRPr="00DB0713">
        <w:rPr>
          <w:b/>
          <w:bCs/>
          <w:lang w:eastAsia="fr-FR"/>
        </w:rPr>
        <w:t>La durée quotidienne du travail</w:t>
      </w:r>
      <w:r>
        <w:rPr>
          <w:lang w:eastAsia="fr-FR"/>
        </w:rPr>
        <w:t> : maximum 12 heures</w:t>
      </w:r>
    </w:p>
    <w:p w14:paraId="1901CFCE" w14:textId="6C86597D" w:rsidR="00DB0713" w:rsidRDefault="00DB0713" w:rsidP="00DB0713">
      <w:pPr>
        <w:pStyle w:val="Paragraphedeliste"/>
        <w:numPr>
          <w:ilvl w:val="0"/>
          <w:numId w:val="38"/>
        </w:numPr>
        <w:ind w:left="357" w:hanging="357"/>
        <w:contextualSpacing w:val="0"/>
        <w:rPr>
          <w:lang w:eastAsia="fr-FR"/>
        </w:rPr>
      </w:pPr>
      <w:r w:rsidRPr="00DB0713">
        <w:rPr>
          <w:b/>
          <w:bCs/>
          <w:lang w:eastAsia="fr-FR"/>
        </w:rPr>
        <w:t xml:space="preserve">La durée quotidienne maximale de travail accomplie par un travailleur de nuit </w:t>
      </w:r>
      <w:r w:rsidRPr="00DB0713">
        <w:rPr>
          <w:b/>
          <w:bCs/>
          <w:lang w:eastAsia="fr-FR"/>
        </w:rPr>
        <w:t>(8 heures)</w:t>
      </w:r>
      <w:r>
        <w:rPr>
          <w:lang w:eastAsia="fr-FR"/>
        </w:rPr>
        <w:t xml:space="preserve"> : maximum </w:t>
      </w:r>
      <w:r>
        <w:rPr>
          <w:lang w:eastAsia="fr-FR"/>
        </w:rPr>
        <w:t xml:space="preserve">douze heures, sous réserve de l'attribution d'un repos compensateur égal au dépassement de la durée </w:t>
      </w:r>
      <w:r>
        <w:rPr>
          <w:lang w:eastAsia="fr-FR"/>
        </w:rPr>
        <w:t>de 8 heures</w:t>
      </w:r>
    </w:p>
    <w:p w14:paraId="758DC1B6" w14:textId="3FC867E7" w:rsidR="00DB0713" w:rsidRDefault="00DB0713" w:rsidP="00DB0713">
      <w:pPr>
        <w:pStyle w:val="Paragraphedeliste"/>
        <w:numPr>
          <w:ilvl w:val="0"/>
          <w:numId w:val="38"/>
        </w:numPr>
        <w:ind w:left="357" w:hanging="357"/>
        <w:contextualSpacing w:val="0"/>
        <w:rPr>
          <w:lang w:eastAsia="fr-FR"/>
        </w:rPr>
      </w:pPr>
      <w:r w:rsidRPr="00DB0713">
        <w:rPr>
          <w:b/>
          <w:bCs/>
          <w:lang w:eastAsia="fr-FR"/>
        </w:rPr>
        <w:t>La durée du repos quotidien</w:t>
      </w:r>
      <w:r>
        <w:rPr>
          <w:lang w:eastAsia="fr-FR"/>
        </w:rPr>
        <w:t xml:space="preserve"> </w:t>
      </w:r>
      <w:r>
        <w:rPr>
          <w:lang w:eastAsia="fr-FR"/>
        </w:rPr>
        <w:t xml:space="preserve">(11 heures entre deux journées de travail) </w:t>
      </w:r>
      <w:r>
        <w:rPr>
          <w:lang w:eastAsia="fr-FR"/>
        </w:rPr>
        <w:t>peut être réduite jusqu'à neuf heures consécutives, sous réserve de l'attribution d'un repos compensateur égal à la durée du repos dont le salarié n'a pu bénéficier</w:t>
      </w:r>
    </w:p>
    <w:p w14:paraId="5A4D65F1" w14:textId="5630779E" w:rsidR="00DB0713" w:rsidRDefault="00DB0713" w:rsidP="00DB0713">
      <w:pPr>
        <w:pStyle w:val="Paragraphedeliste"/>
        <w:numPr>
          <w:ilvl w:val="0"/>
          <w:numId w:val="38"/>
        </w:numPr>
        <w:ind w:left="357" w:hanging="357"/>
        <w:contextualSpacing w:val="0"/>
        <w:rPr>
          <w:lang w:eastAsia="fr-FR"/>
        </w:rPr>
      </w:pPr>
      <w:r w:rsidRPr="00DB0713">
        <w:rPr>
          <w:b/>
          <w:bCs/>
          <w:lang w:eastAsia="fr-FR"/>
        </w:rPr>
        <w:t>La durée hebdomadaire maximale</w:t>
      </w:r>
      <w:r>
        <w:rPr>
          <w:lang w:eastAsia="fr-FR"/>
        </w:rPr>
        <w:t xml:space="preserve"> </w:t>
      </w:r>
      <w:r>
        <w:rPr>
          <w:lang w:eastAsia="fr-FR"/>
        </w:rPr>
        <w:t xml:space="preserve">(48 heures) : maximum 60 </w:t>
      </w:r>
      <w:r>
        <w:rPr>
          <w:lang w:eastAsia="fr-FR"/>
        </w:rPr>
        <w:t>heures</w:t>
      </w:r>
    </w:p>
    <w:p w14:paraId="664CAE15" w14:textId="207D282D" w:rsidR="00DB0713" w:rsidRDefault="00DB0713" w:rsidP="00DB0713">
      <w:pPr>
        <w:pStyle w:val="Paragraphedeliste"/>
        <w:numPr>
          <w:ilvl w:val="0"/>
          <w:numId w:val="38"/>
        </w:numPr>
        <w:ind w:left="357" w:hanging="357"/>
        <w:contextualSpacing w:val="0"/>
        <w:rPr>
          <w:lang w:eastAsia="fr-FR"/>
        </w:rPr>
      </w:pPr>
      <w:r w:rsidRPr="00DB0713">
        <w:rPr>
          <w:b/>
          <w:bCs/>
          <w:lang w:eastAsia="fr-FR"/>
        </w:rPr>
        <w:t xml:space="preserve">La durée hebdomadaire de travail </w:t>
      </w:r>
      <w:r w:rsidRPr="00DB0713">
        <w:rPr>
          <w:b/>
          <w:bCs/>
          <w:lang w:eastAsia="fr-FR"/>
        </w:rPr>
        <w:t xml:space="preserve">moyenne </w:t>
      </w:r>
      <w:r w:rsidRPr="00DB0713">
        <w:rPr>
          <w:b/>
          <w:bCs/>
          <w:lang w:eastAsia="fr-FR"/>
        </w:rPr>
        <w:t xml:space="preserve">sur une période quelconque de </w:t>
      </w:r>
      <w:r w:rsidRPr="00DB0713">
        <w:rPr>
          <w:b/>
          <w:bCs/>
          <w:lang w:eastAsia="fr-FR"/>
        </w:rPr>
        <w:t xml:space="preserve">12 </w:t>
      </w:r>
      <w:r w:rsidRPr="00DB0713">
        <w:rPr>
          <w:b/>
          <w:bCs/>
          <w:lang w:eastAsia="fr-FR"/>
        </w:rPr>
        <w:t>semaines consécutives</w:t>
      </w:r>
      <w:r>
        <w:rPr>
          <w:lang w:eastAsia="fr-FR"/>
        </w:rPr>
        <w:t xml:space="preserve"> </w:t>
      </w:r>
      <w:r>
        <w:rPr>
          <w:lang w:eastAsia="fr-FR"/>
        </w:rPr>
        <w:t xml:space="preserve">(ou 12 mois dans les entreprises </w:t>
      </w:r>
      <w:r>
        <w:rPr>
          <w:lang w:eastAsia="fr-FR"/>
        </w:rPr>
        <w:t>ayant une activité de production agricole</w:t>
      </w:r>
      <w:r>
        <w:rPr>
          <w:lang w:eastAsia="fr-FR"/>
        </w:rPr>
        <w:t xml:space="preserve"> (44 heures) : maximum 48 </w:t>
      </w:r>
      <w:r>
        <w:rPr>
          <w:lang w:eastAsia="fr-FR"/>
        </w:rPr>
        <w:t>heures</w:t>
      </w:r>
    </w:p>
    <w:p w14:paraId="26BF4C2C" w14:textId="38A3A01A" w:rsidR="00DB0713" w:rsidRDefault="00DB0713" w:rsidP="00DB0713">
      <w:pPr>
        <w:pStyle w:val="Paragraphedeliste"/>
        <w:numPr>
          <w:ilvl w:val="0"/>
          <w:numId w:val="38"/>
        </w:numPr>
        <w:ind w:left="357" w:hanging="357"/>
        <w:contextualSpacing w:val="0"/>
        <w:rPr>
          <w:lang w:eastAsia="fr-FR"/>
        </w:rPr>
      </w:pPr>
      <w:r w:rsidRPr="00DB0713">
        <w:rPr>
          <w:b/>
          <w:bCs/>
          <w:lang w:eastAsia="fr-FR"/>
        </w:rPr>
        <w:t xml:space="preserve">La durée hebdomadaire de travail du travailleur de nuit </w:t>
      </w:r>
      <w:r w:rsidRPr="00DB0713">
        <w:rPr>
          <w:b/>
          <w:bCs/>
          <w:lang w:eastAsia="fr-FR"/>
        </w:rPr>
        <w:t>moyenne</w:t>
      </w:r>
      <w:r>
        <w:rPr>
          <w:lang w:eastAsia="fr-FR"/>
        </w:rPr>
        <w:t xml:space="preserve"> </w:t>
      </w:r>
      <w:r>
        <w:rPr>
          <w:lang w:eastAsia="fr-FR"/>
        </w:rPr>
        <w:t xml:space="preserve">sur une période de douze semaines consécutives </w:t>
      </w:r>
      <w:r>
        <w:rPr>
          <w:lang w:eastAsia="fr-FR"/>
        </w:rPr>
        <w:t xml:space="preserve">(40 heures) : maximum 44 </w:t>
      </w:r>
      <w:r>
        <w:rPr>
          <w:lang w:eastAsia="fr-FR"/>
        </w:rPr>
        <w:t>heures.</w:t>
      </w:r>
    </w:p>
    <w:p w14:paraId="7841DB89" w14:textId="5AF6C3F2" w:rsidR="00520F00" w:rsidRDefault="00520F00" w:rsidP="00DB0713">
      <w:pPr>
        <w:pStyle w:val="Paragraphedeliste"/>
        <w:numPr>
          <w:ilvl w:val="0"/>
          <w:numId w:val="38"/>
        </w:numPr>
        <w:ind w:left="357" w:hanging="357"/>
        <w:contextualSpacing w:val="0"/>
        <w:rPr>
          <w:lang w:eastAsia="fr-FR"/>
        </w:rPr>
      </w:pPr>
      <w:r>
        <w:rPr>
          <w:b/>
          <w:bCs/>
          <w:lang w:eastAsia="fr-FR"/>
        </w:rPr>
        <w:lastRenderedPageBreak/>
        <w:t>Le repos dominical</w:t>
      </w:r>
      <w:r>
        <w:rPr>
          <w:lang w:eastAsia="fr-FR"/>
        </w:rPr>
        <w:t> : l’employeur pourra faire travailler les salariés le dimanche en donnant le repos hebdomadaire par roulement.</w:t>
      </w:r>
    </w:p>
    <w:p w14:paraId="13E50745" w14:textId="6133697E" w:rsidR="00520F00" w:rsidRPr="00520F00" w:rsidRDefault="00520F00" w:rsidP="00520F00">
      <w:pPr>
        <w:pStyle w:val="Paragraphedeliste"/>
        <w:numPr>
          <w:ilvl w:val="1"/>
          <w:numId w:val="38"/>
        </w:numPr>
        <w:ind w:left="1434" w:hanging="357"/>
        <w:contextualSpacing w:val="0"/>
        <w:rPr>
          <w:lang w:eastAsia="fr-FR"/>
        </w:rPr>
      </w:pPr>
      <w:r w:rsidRPr="00520F00">
        <w:rPr>
          <w:lang w:eastAsia="fr-FR"/>
        </w:rPr>
        <w:t>Cette dérogation</w:t>
      </w:r>
      <w:r w:rsidRPr="00520F00">
        <w:t xml:space="preserve"> </w:t>
      </w:r>
      <w:r w:rsidRPr="00520F00">
        <w:rPr>
          <w:lang w:eastAsia="fr-FR"/>
        </w:rPr>
        <w:t xml:space="preserve">s'applique également aux entreprises qui assurent à celles </w:t>
      </w:r>
      <w:r>
        <w:rPr>
          <w:lang w:eastAsia="fr-FR"/>
        </w:rPr>
        <w:t xml:space="preserve">faisant partie des secteurs concernés </w:t>
      </w:r>
      <w:r w:rsidRPr="00520F00">
        <w:rPr>
          <w:lang w:eastAsia="fr-FR"/>
        </w:rPr>
        <w:t>des prestations nécessaires à l'accomplissement de leur activité principale</w:t>
      </w:r>
      <w:r>
        <w:rPr>
          <w:lang w:eastAsia="fr-FR"/>
        </w:rPr>
        <w:t xml:space="preserve"> (on pense notamment aux entreprises de maintenance informatique).</w:t>
      </w:r>
    </w:p>
    <w:p w14:paraId="47C80C81" w14:textId="2A70DABC" w:rsidR="00520F00" w:rsidRPr="00520F00" w:rsidRDefault="00520F00" w:rsidP="00520F00">
      <w:pPr>
        <w:pStyle w:val="Paragraphedeliste"/>
        <w:numPr>
          <w:ilvl w:val="1"/>
          <w:numId w:val="38"/>
        </w:numPr>
        <w:contextualSpacing w:val="0"/>
        <w:rPr>
          <w:lang w:eastAsia="fr-FR"/>
        </w:rPr>
      </w:pPr>
      <w:r>
        <w:rPr>
          <w:lang w:eastAsia="fr-FR"/>
        </w:rPr>
        <w:t xml:space="preserve">Cette dérogation </w:t>
      </w:r>
      <w:r w:rsidRPr="00520F00">
        <w:rPr>
          <w:lang w:eastAsia="fr-FR"/>
        </w:rPr>
        <w:t>s'applique</w:t>
      </w:r>
      <w:r>
        <w:rPr>
          <w:lang w:eastAsia="fr-FR"/>
        </w:rPr>
        <w:t xml:space="preserve"> aussi </w:t>
      </w:r>
      <w:r w:rsidRPr="00520F00">
        <w:rPr>
          <w:lang w:eastAsia="fr-FR"/>
        </w:rPr>
        <w:t>dans les départements de la Moselle, du Bas-Rhin et du Haut-Rhin</w:t>
      </w:r>
      <w:r>
        <w:rPr>
          <w:lang w:eastAsia="fr-FR"/>
        </w:rPr>
        <w:t>.</w:t>
      </w:r>
    </w:p>
    <w:p w14:paraId="34AC5755" w14:textId="2BB944DB" w:rsidR="00152732" w:rsidRDefault="00152732" w:rsidP="00152732">
      <w:pPr>
        <w:pStyle w:val="Marc2"/>
      </w:pPr>
      <w:bookmarkStart w:id="13" w:name="_Toc36105435"/>
      <w:r>
        <w:t>L’information</w:t>
      </w:r>
      <w:bookmarkEnd w:id="13"/>
    </w:p>
    <w:p w14:paraId="517FB674" w14:textId="77777777" w:rsidR="00152732" w:rsidRDefault="00152732" w:rsidP="00DB0713">
      <w:pPr>
        <w:rPr>
          <w:lang w:eastAsia="fr-FR"/>
        </w:rPr>
      </w:pPr>
      <w:r w:rsidRPr="00152732">
        <w:rPr>
          <w:lang w:eastAsia="fr-FR"/>
        </w:rPr>
        <w:t>L'employeur informe sans délai et par tout moyen</w:t>
      </w:r>
      <w:r>
        <w:rPr>
          <w:lang w:eastAsia="fr-FR"/>
        </w:rPr>
        <w:t> :</w:t>
      </w:r>
    </w:p>
    <w:p w14:paraId="4E3F3418" w14:textId="77777777" w:rsidR="00152732" w:rsidRDefault="00152732" w:rsidP="00152732">
      <w:pPr>
        <w:pStyle w:val="Paragraphedeliste"/>
        <w:numPr>
          <w:ilvl w:val="0"/>
          <w:numId w:val="40"/>
        </w:numPr>
        <w:ind w:left="357" w:hanging="357"/>
        <w:contextualSpacing w:val="0"/>
        <w:rPr>
          <w:lang w:eastAsia="fr-FR"/>
        </w:rPr>
      </w:pPr>
      <w:r>
        <w:rPr>
          <w:lang w:eastAsia="fr-FR"/>
        </w:rPr>
        <w:t>Les salariés concernés</w:t>
      </w:r>
    </w:p>
    <w:p w14:paraId="6FAB832E" w14:textId="77777777" w:rsidR="00152732" w:rsidRDefault="00152732" w:rsidP="00152732">
      <w:pPr>
        <w:pStyle w:val="Paragraphedeliste"/>
        <w:numPr>
          <w:ilvl w:val="0"/>
          <w:numId w:val="40"/>
        </w:numPr>
        <w:ind w:left="357" w:hanging="357"/>
        <w:contextualSpacing w:val="0"/>
        <w:rPr>
          <w:lang w:eastAsia="fr-FR"/>
        </w:rPr>
      </w:pPr>
      <w:r>
        <w:rPr>
          <w:lang w:eastAsia="fr-FR"/>
        </w:rPr>
        <w:t>L</w:t>
      </w:r>
      <w:r w:rsidRPr="00152732">
        <w:rPr>
          <w:lang w:eastAsia="fr-FR"/>
        </w:rPr>
        <w:t>e comité social et économique.</w:t>
      </w:r>
    </w:p>
    <w:p w14:paraId="5A99D812" w14:textId="01651ED8" w:rsidR="00273F02" w:rsidRPr="00273F02" w:rsidRDefault="00152732" w:rsidP="00FF2B3F">
      <w:pPr>
        <w:pStyle w:val="Paragraphedeliste"/>
        <w:numPr>
          <w:ilvl w:val="0"/>
          <w:numId w:val="40"/>
        </w:numPr>
        <w:ind w:left="357" w:hanging="357"/>
        <w:contextualSpacing w:val="0"/>
        <w:rPr>
          <w:lang w:eastAsia="fr-FR"/>
        </w:rPr>
      </w:pPr>
      <w:r>
        <w:rPr>
          <w:lang w:eastAsia="fr-FR"/>
        </w:rPr>
        <w:t>Le Direccte (inspection du travail)</w:t>
      </w:r>
    </w:p>
    <w:sectPr w:rsidR="00273F02" w:rsidRPr="00273F02" w:rsidSect="00FE4AA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FC40" w14:textId="77777777" w:rsidR="008710D1" w:rsidRDefault="008710D1" w:rsidP="00FE4AAD">
      <w:pPr>
        <w:spacing w:after="0" w:line="240" w:lineRule="auto"/>
      </w:pPr>
      <w:r>
        <w:separator/>
      </w:r>
    </w:p>
  </w:endnote>
  <w:endnote w:type="continuationSeparator" w:id="0">
    <w:p w14:paraId="1BFC2ACB" w14:textId="77777777" w:rsidR="008710D1" w:rsidRDefault="008710D1" w:rsidP="00F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555B" w14:textId="77777777" w:rsidR="008710D1" w:rsidRDefault="008710D1" w:rsidP="00FE4AAD">
      <w:pPr>
        <w:spacing w:after="0" w:line="240" w:lineRule="auto"/>
      </w:pPr>
      <w:r>
        <w:separator/>
      </w:r>
    </w:p>
  </w:footnote>
  <w:footnote w:type="continuationSeparator" w:id="0">
    <w:p w14:paraId="76452B1C" w14:textId="77777777" w:rsidR="008710D1" w:rsidRDefault="008710D1" w:rsidP="00F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3B5289A" w14:textId="77777777" w:rsidR="00FE4AAD" w:rsidRDefault="00FE4AA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C2CC123" w14:textId="77777777" w:rsidR="00FE4AAD" w:rsidRDefault="00FE4A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084"/>
    <w:multiLevelType w:val="hybridMultilevel"/>
    <w:tmpl w:val="9C806AD0"/>
    <w:lvl w:ilvl="0" w:tplc="2AE01B60">
      <w:start w:val="1"/>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C76E69"/>
    <w:multiLevelType w:val="multilevel"/>
    <w:tmpl w:val="3640954E"/>
    <w:styleLink w:val="StyleMarc"/>
    <w:lvl w:ilvl="0">
      <w:start w:val="1"/>
      <w:numFmt w:val="decimal"/>
      <w:lvlText w:val="Article %1"/>
      <w:lvlJc w:val="left"/>
      <w:pPr>
        <w:ind w:left="1134" w:hanging="1134"/>
      </w:pPr>
      <w:rPr>
        <w:rFonts w:ascii="Arial" w:hAnsi="Arial" w:hint="default"/>
        <w:b/>
        <w:i w:val="0"/>
        <w:caps w:val="0"/>
        <w:strike w:val="0"/>
        <w:dstrike w:val="0"/>
        <w:vanish w:val="0"/>
        <w:sz w:val="20"/>
        <w:u w:val="single"/>
        <w:vertAlign w:val="baseline"/>
      </w:rPr>
    </w:lvl>
    <w:lvl w:ilvl="1">
      <w:start w:val="1"/>
      <w:numFmt w:val="decimal"/>
      <w:lvlText w:val="Article %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21D47059"/>
    <w:multiLevelType w:val="hybridMultilevel"/>
    <w:tmpl w:val="B8B0B6B4"/>
    <w:lvl w:ilvl="0" w:tplc="2AE01B60">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72A9F"/>
    <w:multiLevelType w:val="hybridMultilevel"/>
    <w:tmpl w:val="81A2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5249D0"/>
    <w:multiLevelType w:val="multilevel"/>
    <w:tmpl w:val="4580B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3"/>
      <w:lvlText w:val="%1.%2.%3."/>
      <w:lvlJc w:val="left"/>
      <w:pPr>
        <w:ind w:left="1224" w:hanging="504"/>
      </w:pPr>
    </w:lvl>
    <w:lvl w:ilvl="3">
      <w:start w:val="1"/>
      <w:numFmt w:val="decimal"/>
      <w:pStyle w:val="Sty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B31751"/>
    <w:multiLevelType w:val="hybridMultilevel"/>
    <w:tmpl w:val="46F6B870"/>
    <w:lvl w:ilvl="0" w:tplc="2AE01B60">
      <w:start w:val="1"/>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137D8B"/>
    <w:multiLevelType w:val="hybridMultilevel"/>
    <w:tmpl w:val="150CD47E"/>
    <w:lvl w:ilvl="0" w:tplc="B8C8558C">
      <w:start w:val="1"/>
      <w:numFmt w:val="bullet"/>
      <w:lvlText w:val="-"/>
      <w:lvlJc w:val="left"/>
      <w:pPr>
        <w:ind w:left="-351" w:hanging="360"/>
      </w:pPr>
      <w:rPr>
        <w:rFonts w:ascii="Arial" w:hAnsi="Arial"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7" w15:restartNumberingAfterBreak="0">
    <w:nsid w:val="42E454F2"/>
    <w:multiLevelType w:val="hybridMultilevel"/>
    <w:tmpl w:val="5C0EE7D0"/>
    <w:lvl w:ilvl="0" w:tplc="BFEA1B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109AB"/>
    <w:multiLevelType w:val="hybridMultilevel"/>
    <w:tmpl w:val="20D611A8"/>
    <w:lvl w:ilvl="0" w:tplc="DB8E8E02">
      <w:start w:val="1"/>
      <w:numFmt w:val="decimal"/>
      <w:lvlText w:val="Article %1."/>
      <w:lvlJc w:val="left"/>
      <w:pPr>
        <w:ind w:left="360" w:hanging="360"/>
      </w:pPr>
      <w:rPr>
        <w:rFonts w:hint="default"/>
      </w:rPr>
    </w:lvl>
    <w:lvl w:ilvl="1" w:tplc="C032CAEC">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F657191"/>
    <w:multiLevelType w:val="multilevel"/>
    <w:tmpl w:val="1B46D648"/>
    <w:lvl w:ilvl="0">
      <w:start w:val="1"/>
      <w:numFmt w:val="decimal"/>
      <w:lvlText w:val="%1."/>
      <w:lvlJc w:val="left"/>
      <w:pPr>
        <w:tabs>
          <w:tab w:val="num" w:pos="720"/>
        </w:tabs>
        <w:ind w:left="720" w:hanging="720"/>
      </w:pPr>
    </w:lvl>
    <w:lvl w:ilvl="1">
      <w:start w:val="1"/>
      <w:numFmt w:val="decimal"/>
      <w:pStyle w:val="Marc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5925C61"/>
    <w:multiLevelType w:val="multilevel"/>
    <w:tmpl w:val="204C894C"/>
    <w:lvl w:ilvl="0">
      <w:start w:val="1"/>
      <w:numFmt w:val="decimal"/>
      <w:pStyle w:val="Marc1"/>
      <w:lvlText w:val="%1."/>
      <w:lvlJc w:val="left"/>
      <w:pPr>
        <w:ind w:left="360" w:hanging="360"/>
      </w:pPr>
    </w:lvl>
    <w:lvl w:ilvl="1">
      <w:start w:val="1"/>
      <w:numFmt w:val="decimal"/>
      <w:pStyle w:val="Marc2"/>
      <w:lvlText w:val="%1.%2."/>
      <w:lvlJc w:val="left"/>
      <w:pPr>
        <w:ind w:left="792" w:hanging="432"/>
      </w:pPr>
    </w:lvl>
    <w:lvl w:ilvl="2">
      <w:start w:val="1"/>
      <w:numFmt w:val="decimal"/>
      <w:pStyle w:val="Marc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8D0FAE"/>
    <w:multiLevelType w:val="multilevel"/>
    <w:tmpl w:val="1324B106"/>
    <w:lvl w:ilvl="0">
      <w:start w:val="1"/>
      <w:numFmt w:val="decimal"/>
      <w:lvlText w:val="%1."/>
      <w:lvlJc w:val="left"/>
      <w:pPr>
        <w:ind w:left="0" w:firstLine="0"/>
      </w:pPr>
      <w:rPr>
        <w:rFonts w:ascii="Arial" w:hAnsi="Arial" w:hint="default"/>
        <w:caps w:val="0"/>
        <w:strike w:val="0"/>
        <w:dstrike w:val="0"/>
        <w:vanish w:val="0"/>
        <w:color w:val="247DB5"/>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9"/>
  </w:num>
  <w:num w:numId="4">
    <w:abstractNumId w:val="11"/>
  </w:num>
  <w:num w:numId="5">
    <w:abstractNumId w:val="11"/>
  </w:num>
  <w:num w:numId="6">
    <w:abstractNumId w:val="11"/>
  </w:num>
  <w:num w:numId="7">
    <w:abstractNumId w:val="11"/>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3"/>
  </w:num>
  <w:num w:numId="30">
    <w:abstractNumId w:val="6"/>
  </w:num>
  <w:num w:numId="31">
    <w:abstractNumId w:val="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5"/>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04"/>
    <w:rsid w:val="000E5BF9"/>
    <w:rsid w:val="00152732"/>
    <w:rsid w:val="00273F02"/>
    <w:rsid w:val="002C5615"/>
    <w:rsid w:val="00337969"/>
    <w:rsid w:val="0038324E"/>
    <w:rsid w:val="003B6C3C"/>
    <w:rsid w:val="0040793B"/>
    <w:rsid w:val="0045385D"/>
    <w:rsid w:val="00475EDB"/>
    <w:rsid w:val="00497A8E"/>
    <w:rsid w:val="004D609E"/>
    <w:rsid w:val="004F3EED"/>
    <w:rsid w:val="00520F00"/>
    <w:rsid w:val="00581D19"/>
    <w:rsid w:val="006F13DD"/>
    <w:rsid w:val="00716973"/>
    <w:rsid w:val="00720A80"/>
    <w:rsid w:val="008710D1"/>
    <w:rsid w:val="00902C8F"/>
    <w:rsid w:val="009235FC"/>
    <w:rsid w:val="00942F9A"/>
    <w:rsid w:val="00947D36"/>
    <w:rsid w:val="00955CBA"/>
    <w:rsid w:val="009739DE"/>
    <w:rsid w:val="00A35004"/>
    <w:rsid w:val="00AA4EA4"/>
    <w:rsid w:val="00AE0611"/>
    <w:rsid w:val="00BA358C"/>
    <w:rsid w:val="00BC27FC"/>
    <w:rsid w:val="00BF627C"/>
    <w:rsid w:val="00C45205"/>
    <w:rsid w:val="00CC3326"/>
    <w:rsid w:val="00CE6937"/>
    <w:rsid w:val="00D34999"/>
    <w:rsid w:val="00D46813"/>
    <w:rsid w:val="00D93C94"/>
    <w:rsid w:val="00D93FB1"/>
    <w:rsid w:val="00D954F7"/>
    <w:rsid w:val="00DA2A46"/>
    <w:rsid w:val="00DB0713"/>
    <w:rsid w:val="00E16B36"/>
    <w:rsid w:val="00E429CA"/>
    <w:rsid w:val="00FE4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E6E"/>
  <w15:chartTrackingRefBased/>
  <w15:docId w15:val="{ECB96EA5-3DB9-4CD1-8BC9-11DC8D3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DD"/>
  </w:style>
  <w:style w:type="paragraph" w:styleId="Titre1">
    <w:name w:val="heading 1"/>
    <w:basedOn w:val="Normal"/>
    <w:next w:val="Normal"/>
    <w:link w:val="Titre1Car"/>
    <w:uiPriority w:val="9"/>
    <w:qFormat/>
    <w:rsid w:val="00FE4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F1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Marc">
    <w:name w:val="Style Marc"/>
    <w:uiPriority w:val="99"/>
    <w:rsid w:val="00C45205"/>
    <w:pPr>
      <w:numPr>
        <w:numId w:val="1"/>
      </w:numPr>
    </w:pPr>
  </w:style>
  <w:style w:type="paragraph" w:customStyle="1" w:styleId="Marc3">
    <w:name w:val="Marc 3"/>
    <w:basedOn w:val="Normal"/>
    <w:link w:val="Marc3Car"/>
    <w:qFormat/>
    <w:rsid w:val="00D34999"/>
    <w:pPr>
      <w:numPr>
        <w:ilvl w:val="1"/>
        <w:numId w:val="3"/>
      </w:numPr>
      <w:spacing w:before="240" w:after="240" w:line="276" w:lineRule="auto"/>
      <w:ind w:left="1080" w:hanging="360"/>
      <w:jc w:val="both"/>
    </w:pPr>
    <w:rPr>
      <w:rFonts w:eastAsia="Arial" w:cs="Arial"/>
      <w:b/>
      <w:color w:val="666699"/>
      <w:sz w:val="23"/>
      <w:szCs w:val="23"/>
      <w:u w:val="single"/>
    </w:rPr>
  </w:style>
  <w:style w:type="character" w:customStyle="1" w:styleId="Marc3Car">
    <w:name w:val="Marc 3 Car"/>
    <w:basedOn w:val="Policepardfaut"/>
    <w:link w:val="Marc3"/>
    <w:rsid w:val="00D34999"/>
    <w:rPr>
      <w:rFonts w:eastAsia="Arial" w:cs="Arial"/>
      <w:b/>
      <w:color w:val="666699"/>
      <w:sz w:val="23"/>
      <w:szCs w:val="23"/>
      <w:u w:val="single"/>
    </w:rPr>
  </w:style>
  <w:style w:type="paragraph" w:customStyle="1" w:styleId="Marc1">
    <w:name w:val="Marc1"/>
    <w:next w:val="Normal"/>
    <w:link w:val="Marc1Car"/>
    <w:qFormat/>
    <w:rsid w:val="00152732"/>
    <w:pPr>
      <w:numPr>
        <w:numId w:val="14"/>
      </w:numPr>
      <w:spacing w:before="240" w:after="240"/>
      <w:ind w:left="1134" w:hanging="1134"/>
      <w:jc w:val="both"/>
      <w:outlineLvl w:val="0"/>
    </w:pPr>
    <w:rPr>
      <w:rFonts w:eastAsia="Times New Roman" w:cs="Arial"/>
      <w:b/>
      <w:bCs/>
      <w:color w:val="247DB5"/>
      <w:sz w:val="28"/>
      <w:szCs w:val="40"/>
      <w:lang w:eastAsia="fr-FR"/>
    </w:rPr>
  </w:style>
  <w:style w:type="character" w:customStyle="1" w:styleId="Marc1Car">
    <w:name w:val="Marc1 Car"/>
    <w:basedOn w:val="Titre2Car"/>
    <w:link w:val="Marc1"/>
    <w:rsid w:val="00152732"/>
    <w:rPr>
      <w:rFonts w:asciiTheme="majorHAnsi" w:eastAsia="Times New Roman" w:hAnsiTheme="majorHAnsi" w:cs="Arial"/>
      <w:b/>
      <w:bCs/>
      <w:color w:val="247DB5"/>
      <w:sz w:val="28"/>
      <w:szCs w:val="40"/>
      <w:lang w:eastAsia="fr-FR"/>
    </w:rPr>
  </w:style>
  <w:style w:type="character" w:customStyle="1" w:styleId="Titre2Car">
    <w:name w:val="Titre 2 Car"/>
    <w:basedOn w:val="Policepardfaut"/>
    <w:link w:val="Titre2"/>
    <w:uiPriority w:val="9"/>
    <w:semiHidden/>
    <w:rsid w:val="006F13DD"/>
    <w:rPr>
      <w:rFonts w:asciiTheme="majorHAnsi" w:eastAsiaTheme="majorEastAsia" w:hAnsiTheme="majorHAnsi" w:cstheme="majorBidi"/>
      <w:color w:val="2F5496" w:themeColor="accent1" w:themeShade="BF"/>
      <w:sz w:val="26"/>
      <w:szCs w:val="26"/>
    </w:rPr>
  </w:style>
  <w:style w:type="paragraph" w:customStyle="1" w:styleId="Marc2">
    <w:name w:val="Marc2"/>
    <w:basedOn w:val="Marc1"/>
    <w:link w:val="Marc2Car"/>
    <w:qFormat/>
    <w:rsid w:val="00152732"/>
    <w:pPr>
      <w:numPr>
        <w:ilvl w:val="1"/>
      </w:numPr>
      <w:ind w:left="1134" w:hanging="1134"/>
    </w:pPr>
  </w:style>
  <w:style w:type="character" w:customStyle="1" w:styleId="Marc2Car">
    <w:name w:val="Marc2 Car"/>
    <w:basedOn w:val="Policepardfaut"/>
    <w:link w:val="Marc2"/>
    <w:rsid w:val="00152732"/>
    <w:rPr>
      <w:rFonts w:eastAsia="Times New Roman" w:cs="Arial"/>
      <w:b/>
      <w:bCs/>
      <w:color w:val="247DB5"/>
      <w:sz w:val="28"/>
      <w:szCs w:val="40"/>
      <w:lang w:eastAsia="fr-FR"/>
    </w:rPr>
  </w:style>
  <w:style w:type="paragraph" w:customStyle="1" w:styleId="Marc30">
    <w:name w:val="Marc3"/>
    <w:basedOn w:val="Marc2"/>
    <w:link w:val="Marc3Car0"/>
    <w:qFormat/>
    <w:rsid w:val="00D954F7"/>
    <w:pPr>
      <w:numPr>
        <w:ilvl w:val="2"/>
      </w:numPr>
      <w:ind w:left="1134" w:hanging="1134"/>
    </w:pPr>
  </w:style>
  <w:style w:type="character" w:customStyle="1" w:styleId="Marc3Car0">
    <w:name w:val="Marc3 Car"/>
    <w:basedOn w:val="Policepardfaut"/>
    <w:link w:val="Marc30"/>
    <w:rsid w:val="00D954F7"/>
    <w:rPr>
      <w:rFonts w:eastAsia="Times New Roman" w:cs="Arial"/>
      <w:b/>
      <w:bCs/>
      <w:color w:val="247DB5"/>
      <w:sz w:val="28"/>
      <w:szCs w:val="40"/>
      <w:lang w:eastAsia="fr-FR"/>
    </w:rPr>
  </w:style>
  <w:style w:type="paragraph" w:customStyle="1" w:styleId="Style3">
    <w:name w:val="Style3"/>
    <w:basedOn w:val="Normal"/>
    <w:link w:val="Style3Car"/>
    <w:qFormat/>
    <w:rsid w:val="00955CBA"/>
    <w:pPr>
      <w:numPr>
        <w:ilvl w:val="2"/>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3Car">
    <w:name w:val="Style3 Car"/>
    <w:basedOn w:val="Policepardfaut"/>
    <w:link w:val="Style3"/>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4">
    <w:name w:val="Style4"/>
    <w:basedOn w:val="Normal"/>
    <w:link w:val="Style4Car"/>
    <w:qFormat/>
    <w:rsid w:val="00955CBA"/>
    <w:pPr>
      <w:numPr>
        <w:ilvl w:val="3"/>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4Car">
    <w:name w:val="Style4 Car"/>
    <w:basedOn w:val="Policepardfaut"/>
    <w:link w:val="Style4"/>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5">
    <w:name w:val="Style5"/>
    <w:basedOn w:val="Normal"/>
    <w:link w:val="Style5Car"/>
    <w:qFormat/>
    <w:rsid w:val="00955CBA"/>
    <w:p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5Car">
    <w:name w:val="Style5 Car"/>
    <w:basedOn w:val="Policepardfaut"/>
    <w:link w:val="Style5"/>
    <w:rsid w:val="00955CBA"/>
    <w:rPr>
      <w:rFonts w:ascii="Times New Roman" w:eastAsia="Times New Roman" w:hAnsi="Times New Roman" w:cs="Arial"/>
      <w:b/>
      <w:bCs/>
      <w:color w:val="247DB5"/>
      <w:sz w:val="24"/>
      <w:szCs w:val="24"/>
      <w:shd w:val="clear" w:color="auto" w:fill="FFFFFF"/>
      <w:lang w:eastAsia="fr-FR"/>
    </w:rPr>
  </w:style>
  <w:style w:type="paragraph" w:styleId="TM1">
    <w:name w:val="toc 1"/>
    <w:basedOn w:val="Normal"/>
    <w:next w:val="Normal"/>
    <w:autoRedefine/>
    <w:uiPriority w:val="39"/>
    <w:unhideWhenUsed/>
    <w:rsid w:val="00955CBA"/>
    <w:pPr>
      <w:spacing w:after="100"/>
    </w:pPr>
    <w:rPr>
      <w:rFonts w:eastAsiaTheme="minorEastAsia" w:cs="Times New Roman"/>
      <w:b/>
      <w:color w:val="247DB5"/>
      <w:sz w:val="24"/>
      <w:szCs w:val="22"/>
      <w:lang w:eastAsia="fr-FR"/>
    </w:rPr>
  </w:style>
  <w:style w:type="paragraph" w:styleId="TM3">
    <w:name w:val="toc 3"/>
    <w:basedOn w:val="Normal"/>
    <w:next w:val="Normal"/>
    <w:autoRedefine/>
    <w:uiPriority w:val="39"/>
    <w:unhideWhenUsed/>
    <w:rsid w:val="00955CBA"/>
    <w:pPr>
      <w:spacing w:after="100"/>
      <w:ind w:left="440"/>
    </w:pPr>
    <w:rPr>
      <w:rFonts w:eastAsiaTheme="minorEastAsia" w:cs="Times New Roman"/>
      <w:color w:val="247DB5"/>
      <w:szCs w:val="22"/>
      <w:lang w:eastAsia="fr-FR"/>
    </w:rPr>
  </w:style>
  <w:style w:type="paragraph" w:styleId="TM2">
    <w:name w:val="toc 2"/>
    <w:basedOn w:val="Normal"/>
    <w:next w:val="Normal"/>
    <w:autoRedefine/>
    <w:uiPriority w:val="39"/>
    <w:unhideWhenUsed/>
    <w:rsid w:val="00955CBA"/>
    <w:pPr>
      <w:spacing w:after="100"/>
      <w:ind w:left="220"/>
    </w:pPr>
    <w:rPr>
      <w:rFonts w:eastAsiaTheme="minorEastAsia" w:cs="Times New Roman"/>
      <w:b/>
      <w:color w:val="247DB5"/>
      <w:sz w:val="22"/>
      <w:szCs w:val="22"/>
      <w:lang w:eastAsia="fr-FR"/>
    </w:rPr>
  </w:style>
  <w:style w:type="paragraph" w:styleId="TM4">
    <w:name w:val="toc 4"/>
    <w:basedOn w:val="Normal"/>
    <w:next w:val="Normal"/>
    <w:autoRedefine/>
    <w:uiPriority w:val="39"/>
    <w:unhideWhenUsed/>
    <w:rsid w:val="00955CBA"/>
    <w:pPr>
      <w:spacing w:after="100"/>
      <w:ind w:left="600"/>
    </w:pPr>
    <w:rPr>
      <w:color w:val="247DB5"/>
    </w:rPr>
  </w:style>
  <w:style w:type="paragraph" w:styleId="TM5">
    <w:name w:val="toc 5"/>
    <w:basedOn w:val="Normal"/>
    <w:next w:val="Normal"/>
    <w:autoRedefine/>
    <w:uiPriority w:val="39"/>
    <w:semiHidden/>
    <w:unhideWhenUsed/>
    <w:rsid w:val="00955CBA"/>
    <w:pPr>
      <w:spacing w:after="100"/>
      <w:ind w:left="800"/>
    </w:pPr>
    <w:rPr>
      <w:color w:val="247DB5"/>
    </w:rPr>
  </w:style>
  <w:style w:type="paragraph" w:styleId="Paragraphedeliste">
    <w:name w:val="List Paragraph"/>
    <w:basedOn w:val="Normal"/>
    <w:uiPriority w:val="34"/>
    <w:qFormat/>
    <w:rsid w:val="00AE0611"/>
    <w:pPr>
      <w:ind w:left="720"/>
      <w:contextualSpacing/>
    </w:pPr>
  </w:style>
  <w:style w:type="character" w:customStyle="1" w:styleId="Titre1Car">
    <w:name w:val="Titre 1 Car"/>
    <w:basedOn w:val="Policepardfaut"/>
    <w:link w:val="Titre1"/>
    <w:uiPriority w:val="9"/>
    <w:rsid w:val="00FE4AA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E4AAD"/>
    <w:pPr>
      <w:outlineLvl w:val="9"/>
    </w:pPr>
    <w:rPr>
      <w:lang w:eastAsia="fr-FR"/>
    </w:rPr>
  </w:style>
  <w:style w:type="character" w:styleId="Lienhypertexte">
    <w:name w:val="Hyperlink"/>
    <w:basedOn w:val="Policepardfaut"/>
    <w:uiPriority w:val="99"/>
    <w:unhideWhenUsed/>
    <w:rsid w:val="00FE4AAD"/>
    <w:rPr>
      <w:color w:val="0563C1" w:themeColor="hyperlink"/>
      <w:u w:val="single"/>
    </w:rPr>
  </w:style>
  <w:style w:type="paragraph" w:styleId="En-tte">
    <w:name w:val="header"/>
    <w:basedOn w:val="Normal"/>
    <w:link w:val="En-tteCar"/>
    <w:uiPriority w:val="99"/>
    <w:unhideWhenUsed/>
    <w:rsid w:val="00FE4AAD"/>
    <w:pPr>
      <w:tabs>
        <w:tab w:val="center" w:pos="4536"/>
        <w:tab w:val="right" w:pos="9072"/>
      </w:tabs>
      <w:spacing w:after="0" w:line="240" w:lineRule="auto"/>
    </w:pPr>
  </w:style>
  <w:style w:type="character" w:customStyle="1" w:styleId="En-tteCar">
    <w:name w:val="En-tête Car"/>
    <w:basedOn w:val="Policepardfaut"/>
    <w:link w:val="En-tte"/>
    <w:uiPriority w:val="99"/>
    <w:rsid w:val="00FE4AAD"/>
  </w:style>
  <w:style w:type="paragraph" w:styleId="Pieddepage">
    <w:name w:val="footer"/>
    <w:basedOn w:val="Normal"/>
    <w:link w:val="PieddepageCar"/>
    <w:uiPriority w:val="99"/>
    <w:unhideWhenUsed/>
    <w:rsid w:val="00FE4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2233">
      <w:bodyDiv w:val="1"/>
      <w:marLeft w:val="0"/>
      <w:marRight w:val="0"/>
      <w:marTop w:val="0"/>
      <w:marBottom w:val="0"/>
      <w:divBdr>
        <w:top w:val="none" w:sz="0" w:space="0" w:color="auto"/>
        <w:left w:val="none" w:sz="0" w:space="0" w:color="auto"/>
        <w:bottom w:val="none" w:sz="0" w:space="0" w:color="auto"/>
        <w:right w:val="none" w:sz="0" w:space="0" w:color="auto"/>
      </w:divBdr>
      <w:divsChild>
        <w:div w:id="925574269">
          <w:marLeft w:val="0"/>
          <w:marRight w:val="0"/>
          <w:marTop w:val="525"/>
          <w:marBottom w:val="525"/>
          <w:divBdr>
            <w:top w:val="none" w:sz="0" w:space="0" w:color="auto"/>
            <w:left w:val="none" w:sz="0" w:space="0" w:color="auto"/>
            <w:bottom w:val="none" w:sz="0" w:space="0" w:color="auto"/>
            <w:right w:val="none" w:sz="0" w:space="0" w:color="auto"/>
          </w:divBdr>
          <w:divsChild>
            <w:div w:id="600114965">
              <w:marLeft w:val="0"/>
              <w:marRight w:val="0"/>
              <w:marTop w:val="0"/>
              <w:marBottom w:val="150"/>
              <w:divBdr>
                <w:top w:val="none" w:sz="0" w:space="0" w:color="auto"/>
                <w:left w:val="none" w:sz="0" w:space="0" w:color="auto"/>
                <w:bottom w:val="none" w:sz="0" w:space="0" w:color="auto"/>
                <w:right w:val="none" w:sz="0" w:space="0" w:color="auto"/>
              </w:divBdr>
            </w:div>
            <w:div w:id="1283730021">
              <w:marLeft w:val="0"/>
              <w:marRight w:val="0"/>
              <w:marTop w:val="0"/>
              <w:marBottom w:val="150"/>
              <w:divBdr>
                <w:top w:val="none" w:sz="0" w:space="0" w:color="auto"/>
                <w:left w:val="none" w:sz="0" w:space="0" w:color="auto"/>
                <w:bottom w:val="none" w:sz="0" w:space="0" w:color="auto"/>
                <w:right w:val="none" w:sz="0" w:space="0" w:color="auto"/>
              </w:divBdr>
            </w:div>
            <w:div w:id="1852059746">
              <w:marLeft w:val="0"/>
              <w:marRight w:val="0"/>
              <w:marTop w:val="150"/>
              <w:marBottom w:val="0"/>
              <w:divBdr>
                <w:top w:val="none" w:sz="0" w:space="0" w:color="auto"/>
                <w:left w:val="none" w:sz="0" w:space="0" w:color="auto"/>
                <w:bottom w:val="none" w:sz="0" w:space="0" w:color="auto"/>
                <w:right w:val="none" w:sz="0" w:space="0" w:color="auto"/>
              </w:divBdr>
            </w:div>
          </w:divsChild>
        </w:div>
        <w:div w:id="1499492954">
          <w:marLeft w:val="0"/>
          <w:marRight w:val="0"/>
          <w:marTop w:val="525"/>
          <w:marBottom w:val="525"/>
          <w:divBdr>
            <w:top w:val="none" w:sz="0" w:space="0" w:color="auto"/>
            <w:left w:val="none" w:sz="0" w:space="0" w:color="auto"/>
            <w:bottom w:val="none" w:sz="0" w:space="0" w:color="auto"/>
            <w:right w:val="none" w:sz="0" w:space="0" w:color="auto"/>
          </w:divBdr>
          <w:divsChild>
            <w:div w:id="1402676865">
              <w:marLeft w:val="0"/>
              <w:marRight w:val="0"/>
              <w:marTop w:val="0"/>
              <w:marBottom w:val="150"/>
              <w:divBdr>
                <w:top w:val="none" w:sz="0" w:space="0" w:color="auto"/>
                <w:left w:val="none" w:sz="0" w:space="0" w:color="auto"/>
                <w:bottom w:val="none" w:sz="0" w:space="0" w:color="auto"/>
                <w:right w:val="none" w:sz="0" w:space="0" w:color="auto"/>
              </w:divBdr>
            </w:div>
            <w:div w:id="887690501">
              <w:marLeft w:val="0"/>
              <w:marRight w:val="0"/>
              <w:marTop w:val="0"/>
              <w:marBottom w:val="150"/>
              <w:divBdr>
                <w:top w:val="none" w:sz="0" w:space="0" w:color="auto"/>
                <w:left w:val="none" w:sz="0" w:space="0" w:color="auto"/>
                <w:bottom w:val="none" w:sz="0" w:space="0" w:color="auto"/>
                <w:right w:val="none" w:sz="0" w:space="0" w:color="auto"/>
              </w:divBdr>
            </w:div>
            <w:div w:id="2131430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321753">
      <w:bodyDiv w:val="1"/>
      <w:marLeft w:val="0"/>
      <w:marRight w:val="0"/>
      <w:marTop w:val="0"/>
      <w:marBottom w:val="0"/>
      <w:divBdr>
        <w:top w:val="none" w:sz="0" w:space="0" w:color="auto"/>
        <w:left w:val="none" w:sz="0" w:space="0" w:color="auto"/>
        <w:bottom w:val="none" w:sz="0" w:space="0" w:color="auto"/>
        <w:right w:val="none" w:sz="0" w:space="0" w:color="auto"/>
      </w:divBdr>
      <w:divsChild>
        <w:div w:id="70784345">
          <w:marLeft w:val="0"/>
          <w:marRight w:val="0"/>
          <w:marTop w:val="0"/>
          <w:marBottom w:val="150"/>
          <w:divBdr>
            <w:top w:val="none" w:sz="0" w:space="0" w:color="auto"/>
            <w:left w:val="none" w:sz="0" w:space="0" w:color="auto"/>
            <w:bottom w:val="none" w:sz="0" w:space="0" w:color="auto"/>
            <w:right w:val="none" w:sz="0" w:space="0" w:color="auto"/>
          </w:divBdr>
        </w:div>
        <w:div w:id="414325664">
          <w:marLeft w:val="0"/>
          <w:marRight w:val="0"/>
          <w:marTop w:val="0"/>
          <w:marBottom w:val="150"/>
          <w:divBdr>
            <w:top w:val="none" w:sz="0" w:space="0" w:color="auto"/>
            <w:left w:val="none" w:sz="0" w:space="0" w:color="auto"/>
            <w:bottom w:val="none" w:sz="0" w:space="0" w:color="auto"/>
            <w:right w:val="none" w:sz="0" w:space="0" w:color="auto"/>
          </w:divBdr>
        </w:div>
        <w:div w:id="1374185246">
          <w:marLeft w:val="0"/>
          <w:marRight w:val="0"/>
          <w:marTop w:val="150"/>
          <w:marBottom w:val="0"/>
          <w:divBdr>
            <w:top w:val="none" w:sz="0" w:space="0" w:color="auto"/>
            <w:left w:val="none" w:sz="0" w:space="0" w:color="auto"/>
            <w:bottom w:val="none" w:sz="0" w:space="0" w:color="auto"/>
            <w:right w:val="none" w:sz="0" w:space="0" w:color="auto"/>
          </w:divBdr>
        </w:div>
      </w:divsChild>
    </w:div>
    <w:div w:id="103817267">
      <w:bodyDiv w:val="1"/>
      <w:marLeft w:val="0"/>
      <w:marRight w:val="0"/>
      <w:marTop w:val="0"/>
      <w:marBottom w:val="0"/>
      <w:divBdr>
        <w:top w:val="none" w:sz="0" w:space="0" w:color="auto"/>
        <w:left w:val="none" w:sz="0" w:space="0" w:color="auto"/>
        <w:bottom w:val="none" w:sz="0" w:space="0" w:color="auto"/>
        <w:right w:val="none" w:sz="0" w:space="0" w:color="auto"/>
      </w:divBdr>
      <w:divsChild>
        <w:div w:id="1473408298">
          <w:marLeft w:val="0"/>
          <w:marRight w:val="0"/>
          <w:marTop w:val="0"/>
          <w:marBottom w:val="150"/>
          <w:divBdr>
            <w:top w:val="none" w:sz="0" w:space="0" w:color="auto"/>
            <w:left w:val="none" w:sz="0" w:space="0" w:color="auto"/>
            <w:bottom w:val="none" w:sz="0" w:space="0" w:color="auto"/>
            <w:right w:val="none" w:sz="0" w:space="0" w:color="auto"/>
          </w:divBdr>
        </w:div>
        <w:div w:id="83573898">
          <w:marLeft w:val="0"/>
          <w:marRight w:val="0"/>
          <w:marTop w:val="150"/>
          <w:marBottom w:val="0"/>
          <w:divBdr>
            <w:top w:val="none" w:sz="0" w:space="0" w:color="auto"/>
            <w:left w:val="none" w:sz="0" w:space="0" w:color="auto"/>
            <w:bottom w:val="none" w:sz="0" w:space="0" w:color="auto"/>
            <w:right w:val="none" w:sz="0" w:space="0" w:color="auto"/>
          </w:divBdr>
        </w:div>
      </w:divsChild>
    </w:div>
    <w:div w:id="293603016">
      <w:bodyDiv w:val="1"/>
      <w:marLeft w:val="0"/>
      <w:marRight w:val="0"/>
      <w:marTop w:val="0"/>
      <w:marBottom w:val="0"/>
      <w:divBdr>
        <w:top w:val="none" w:sz="0" w:space="0" w:color="auto"/>
        <w:left w:val="none" w:sz="0" w:space="0" w:color="auto"/>
        <w:bottom w:val="none" w:sz="0" w:space="0" w:color="auto"/>
        <w:right w:val="none" w:sz="0" w:space="0" w:color="auto"/>
      </w:divBdr>
      <w:divsChild>
        <w:div w:id="1195315497">
          <w:marLeft w:val="0"/>
          <w:marRight w:val="0"/>
          <w:marTop w:val="0"/>
          <w:marBottom w:val="150"/>
          <w:divBdr>
            <w:top w:val="none" w:sz="0" w:space="0" w:color="auto"/>
            <w:left w:val="none" w:sz="0" w:space="0" w:color="auto"/>
            <w:bottom w:val="none" w:sz="0" w:space="0" w:color="auto"/>
            <w:right w:val="none" w:sz="0" w:space="0" w:color="auto"/>
          </w:divBdr>
        </w:div>
        <w:div w:id="1541892924">
          <w:marLeft w:val="0"/>
          <w:marRight w:val="0"/>
          <w:marTop w:val="150"/>
          <w:marBottom w:val="0"/>
          <w:divBdr>
            <w:top w:val="none" w:sz="0" w:space="0" w:color="auto"/>
            <w:left w:val="none" w:sz="0" w:space="0" w:color="auto"/>
            <w:bottom w:val="none" w:sz="0" w:space="0" w:color="auto"/>
            <w:right w:val="none" w:sz="0" w:space="0" w:color="auto"/>
          </w:divBdr>
        </w:div>
      </w:divsChild>
    </w:div>
    <w:div w:id="689722195">
      <w:bodyDiv w:val="1"/>
      <w:marLeft w:val="0"/>
      <w:marRight w:val="0"/>
      <w:marTop w:val="0"/>
      <w:marBottom w:val="0"/>
      <w:divBdr>
        <w:top w:val="none" w:sz="0" w:space="0" w:color="auto"/>
        <w:left w:val="none" w:sz="0" w:space="0" w:color="auto"/>
        <w:bottom w:val="none" w:sz="0" w:space="0" w:color="auto"/>
        <w:right w:val="none" w:sz="0" w:space="0" w:color="auto"/>
      </w:divBdr>
      <w:divsChild>
        <w:div w:id="1365331519">
          <w:marLeft w:val="0"/>
          <w:marRight w:val="0"/>
          <w:marTop w:val="525"/>
          <w:marBottom w:val="525"/>
          <w:divBdr>
            <w:top w:val="none" w:sz="0" w:space="0" w:color="auto"/>
            <w:left w:val="none" w:sz="0" w:space="0" w:color="auto"/>
            <w:bottom w:val="none" w:sz="0" w:space="0" w:color="auto"/>
            <w:right w:val="none" w:sz="0" w:space="0" w:color="auto"/>
          </w:divBdr>
          <w:divsChild>
            <w:div w:id="48310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0478255">
      <w:bodyDiv w:val="1"/>
      <w:marLeft w:val="0"/>
      <w:marRight w:val="0"/>
      <w:marTop w:val="0"/>
      <w:marBottom w:val="0"/>
      <w:divBdr>
        <w:top w:val="none" w:sz="0" w:space="0" w:color="auto"/>
        <w:left w:val="none" w:sz="0" w:space="0" w:color="auto"/>
        <w:bottom w:val="none" w:sz="0" w:space="0" w:color="auto"/>
        <w:right w:val="none" w:sz="0" w:space="0" w:color="auto"/>
      </w:divBdr>
      <w:divsChild>
        <w:div w:id="1966111648">
          <w:marLeft w:val="0"/>
          <w:marRight w:val="0"/>
          <w:marTop w:val="0"/>
          <w:marBottom w:val="150"/>
          <w:divBdr>
            <w:top w:val="none" w:sz="0" w:space="0" w:color="auto"/>
            <w:left w:val="none" w:sz="0" w:space="0" w:color="auto"/>
            <w:bottom w:val="none" w:sz="0" w:space="0" w:color="auto"/>
            <w:right w:val="none" w:sz="0" w:space="0" w:color="auto"/>
          </w:divBdr>
        </w:div>
        <w:div w:id="1664971769">
          <w:marLeft w:val="0"/>
          <w:marRight w:val="0"/>
          <w:marTop w:val="150"/>
          <w:marBottom w:val="0"/>
          <w:divBdr>
            <w:top w:val="none" w:sz="0" w:space="0" w:color="auto"/>
            <w:left w:val="none" w:sz="0" w:space="0" w:color="auto"/>
            <w:bottom w:val="none" w:sz="0" w:space="0" w:color="auto"/>
            <w:right w:val="none" w:sz="0" w:space="0" w:color="auto"/>
          </w:divBdr>
        </w:div>
      </w:divsChild>
    </w:div>
    <w:div w:id="1364208044">
      <w:bodyDiv w:val="1"/>
      <w:marLeft w:val="0"/>
      <w:marRight w:val="0"/>
      <w:marTop w:val="0"/>
      <w:marBottom w:val="0"/>
      <w:divBdr>
        <w:top w:val="none" w:sz="0" w:space="0" w:color="auto"/>
        <w:left w:val="none" w:sz="0" w:space="0" w:color="auto"/>
        <w:bottom w:val="none" w:sz="0" w:space="0" w:color="auto"/>
        <w:right w:val="none" w:sz="0" w:space="0" w:color="auto"/>
      </w:divBdr>
      <w:divsChild>
        <w:div w:id="1739011952">
          <w:marLeft w:val="0"/>
          <w:marRight w:val="0"/>
          <w:marTop w:val="0"/>
          <w:marBottom w:val="150"/>
          <w:divBdr>
            <w:top w:val="none" w:sz="0" w:space="0" w:color="auto"/>
            <w:left w:val="none" w:sz="0" w:space="0" w:color="auto"/>
            <w:bottom w:val="none" w:sz="0" w:space="0" w:color="auto"/>
            <w:right w:val="none" w:sz="0" w:space="0" w:color="auto"/>
          </w:divBdr>
        </w:div>
        <w:div w:id="1484664747">
          <w:marLeft w:val="0"/>
          <w:marRight w:val="0"/>
          <w:marTop w:val="150"/>
          <w:marBottom w:val="0"/>
          <w:divBdr>
            <w:top w:val="none" w:sz="0" w:space="0" w:color="auto"/>
            <w:left w:val="none" w:sz="0" w:space="0" w:color="auto"/>
            <w:bottom w:val="none" w:sz="0" w:space="0" w:color="auto"/>
            <w:right w:val="none" w:sz="0" w:space="0" w:color="auto"/>
          </w:divBdr>
        </w:div>
      </w:divsChild>
    </w:div>
    <w:div w:id="1726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6235486">
          <w:marLeft w:val="0"/>
          <w:marRight w:val="0"/>
          <w:marTop w:val="0"/>
          <w:marBottom w:val="150"/>
          <w:divBdr>
            <w:top w:val="none" w:sz="0" w:space="0" w:color="auto"/>
            <w:left w:val="none" w:sz="0" w:space="0" w:color="auto"/>
            <w:bottom w:val="none" w:sz="0" w:space="0" w:color="auto"/>
            <w:right w:val="none" w:sz="0" w:space="0" w:color="auto"/>
          </w:divBdr>
        </w:div>
        <w:div w:id="2099792022">
          <w:marLeft w:val="0"/>
          <w:marRight w:val="0"/>
          <w:marTop w:val="0"/>
          <w:marBottom w:val="150"/>
          <w:divBdr>
            <w:top w:val="none" w:sz="0" w:space="0" w:color="auto"/>
            <w:left w:val="none" w:sz="0" w:space="0" w:color="auto"/>
            <w:bottom w:val="none" w:sz="0" w:space="0" w:color="auto"/>
            <w:right w:val="none" w:sz="0" w:space="0" w:color="auto"/>
          </w:divBdr>
        </w:div>
        <w:div w:id="1085154392">
          <w:marLeft w:val="0"/>
          <w:marRight w:val="0"/>
          <w:marTop w:val="150"/>
          <w:marBottom w:val="0"/>
          <w:divBdr>
            <w:top w:val="none" w:sz="0" w:space="0" w:color="auto"/>
            <w:left w:val="none" w:sz="0" w:space="0" w:color="auto"/>
            <w:bottom w:val="none" w:sz="0" w:space="0" w:color="auto"/>
            <w:right w:val="none" w:sz="0" w:space="0" w:color="auto"/>
          </w:divBdr>
        </w:div>
      </w:divsChild>
    </w:div>
    <w:div w:id="1772164807">
      <w:bodyDiv w:val="1"/>
      <w:marLeft w:val="0"/>
      <w:marRight w:val="0"/>
      <w:marTop w:val="0"/>
      <w:marBottom w:val="0"/>
      <w:divBdr>
        <w:top w:val="none" w:sz="0" w:space="0" w:color="auto"/>
        <w:left w:val="none" w:sz="0" w:space="0" w:color="auto"/>
        <w:bottom w:val="none" w:sz="0" w:space="0" w:color="auto"/>
        <w:right w:val="none" w:sz="0" w:space="0" w:color="auto"/>
      </w:divBdr>
      <w:divsChild>
        <w:div w:id="641235478">
          <w:marLeft w:val="0"/>
          <w:marRight w:val="0"/>
          <w:marTop w:val="0"/>
          <w:marBottom w:val="150"/>
          <w:divBdr>
            <w:top w:val="none" w:sz="0" w:space="0" w:color="auto"/>
            <w:left w:val="none" w:sz="0" w:space="0" w:color="auto"/>
            <w:bottom w:val="none" w:sz="0" w:space="0" w:color="auto"/>
            <w:right w:val="none" w:sz="0" w:space="0" w:color="auto"/>
          </w:divBdr>
        </w:div>
        <w:div w:id="1194921228">
          <w:marLeft w:val="0"/>
          <w:marRight w:val="0"/>
          <w:marTop w:val="0"/>
          <w:marBottom w:val="150"/>
          <w:divBdr>
            <w:top w:val="none" w:sz="0" w:space="0" w:color="auto"/>
            <w:left w:val="none" w:sz="0" w:space="0" w:color="auto"/>
            <w:bottom w:val="none" w:sz="0" w:space="0" w:color="auto"/>
            <w:right w:val="none" w:sz="0" w:space="0" w:color="auto"/>
          </w:divBdr>
        </w:div>
        <w:div w:id="529220989">
          <w:marLeft w:val="0"/>
          <w:marRight w:val="0"/>
          <w:marTop w:val="150"/>
          <w:marBottom w:val="0"/>
          <w:divBdr>
            <w:top w:val="none" w:sz="0" w:space="0" w:color="auto"/>
            <w:left w:val="none" w:sz="0" w:space="0" w:color="auto"/>
            <w:bottom w:val="none" w:sz="0" w:space="0" w:color="auto"/>
            <w:right w:val="none" w:sz="0" w:space="0" w:color="auto"/>
          </w:divBdr>
        </w:div>
      </w:divsChild>
    </w:div>
    <w:div w:id="1839228669">
      <w:bodyDiv w:val="1"/>
      <w:marLeft w:val="0"/>
      <w:marRight w:val="0"/>
      <w:marTop w:val="0"/>
      <w:marBottom w:val="0"/>
      <w:divBdr>
        <w:top w:val="none" w:sz="0" w:space="0" w:color="auto"/>
        <w:left w:val="none" w:sz="0" w:space="0" w:color="auto"/>
        <w:bottom w:val="none" w:sz="0" w:space="0" w:color="auto"/>
        <w:right w:val="none" w:sz="0" w:space="0" w:color="auto"/>
      </w:divBdr>
      <w:divsChild>
        <w:div w:id="601491664">
          <w:marLeft w:val="0"/>
          <w:marRight w:val="0"/>
          <w:marTop w:val="0"/>
          <w:marBottom w:val="150"/>
          <w:divBdr>
            <w:top w:val="none" w:sz="0" w:space="0" w:color="auto"/>
            <w:left w:val="none" w:sz="0" w:space="0" w:color="auto"/>
            <w:bottom w:val="none" w:sz="0" w:space="0" w:color="auto"/>
            <w:right w:val="none" w:sz="0" w:space="0" w:color="auto"/>
          </w:divBdr>
        </w:div>
        <w:div w:id="720404138">
          <w:marLeft w:val="0"/>
          <w:marRight w:val="0"/>
          <w:marTop w:val="150"/>
          <w:marBottom w:val="0"/>
          <w:divBdr>
            <w:top w:val="none" w:sz="0" w:space="0" w:color="auto"/>
            <w:left w:val="none" w:sz="0" w:space="0" w:color="auto"/>
            <w:bottom w:val="none" w:sz="0" w:space="0" w:color="auto"/>
            <w:right w:val="none" w:sz="0" w:space="0" w:color="auto"/>
          </w:divBdr>
        </w:div>
      </w:divsChild>
    </w:div>
    <w:div w:id="2082017505">
      <w:bodyDiv w:val="1"/>
      <w:marLeft w:val="0"/>
      <w:marRight w:val="0"/>
      <w:marTop w:val="0"/>
      <w:marBottom w:val="0"/>
      <w:divBdr>
        <w:top w:val="none" w:sz="0" w:space="0" w:color="auto"/>
        <w:left w:val="none" w:sz="0" w:space="0" w:color="auto"/>
        <w:bottom w:val="none" w:sz="0" w:space="0" w:color="auto"/>
        <w:right w:val="none" w:sz="0" w:space="0" w:color="auto"/>
      </w:divBdr>
      <w:divsChild>
        <w:div w:id="903102875">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6D0A-9A75-41DD-A970-094E0B47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1808</Words>
  <Characters>9949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MTAvocat</dc:creator>
  <cp:keywords/>
  <dc:description/>
  <cp:lastModifiedBy>MTAvocat</cp:lastModifiedBy>
  <cp:revision>8</cp:revision>
  <dcterms:created xsi:type="dcterms:W3CDTF">2020-03-26T06:46:00Z</dcterms:created>
  <dcterms:modified xsi:type="dcterms:W3CDTF">2020-03-26T08:00:00Z</dcterms:modified>
</cp:coreProperties>
</file>